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0" w:type="dxa"/>
          <w:right w:w="0" w:type="dxa"/>
        </w:tblCellMar>
        <w:tblLook w:val="04A0" w:firstRow="1" w:lastRow="0" w:firstColumn="1" w:lastColumn="0" w:noHBand="0" w:noVBand="1"/>
      </w:tblPr>
      <w:tblGrid>
        <w:gridCol w:w="4111"/>
      </w:tblGrid>
      <w:tr w:rsidR="00963C08" w:rsidRPr="00963C08" w14:paraId="624596D1" w14:textId="77777777" w:rsidTr="00963C08">
        <w:tc>
          <w:tcPr>
            <w:tcW w:w="4111" w:type="dxa"/>
            <w:hideMark/>
          </w:tcPr>
          <w:p w14:paraId="5378F46B" w14:textId="77777777" w:rsidR="00963C08" w:rsidRPr="00963C08" w:rsidRDefault="00963C08" w:rsidP="00963C08">
            <w:pPr>
              <w:overflowPunct w:val="0"/>
              <w:autoSpaceDE w:val="0"/>
              <w:autoSpaceDN w:val="0"/>
              <w:adjustRightInd w:val="0"/>
              <w:spacing w:after="0" w:line="240" w:lineRule="auto"/>
              <w:jc w:val="center"/>
              <w:rPr>
                <w:rFonts w:eastAsia="Times New Roman" w:cs="Times New Roman"/>
                <w:b/>
                <w:szCs w:val="24"/>
                <w:lang w:eastAsia="hr-HR"/>
              </w:rPr>
            </w:pPr>
            <w:r w:rsidRPr="00963C08">
              <w:rPr>
                <w:rFonts w:eastAsia="Times New Roman" w:cs="Times New Roman"/>
                <w:b/>
                <w:noProof/>
                <w:szCs w:val="24"/>
                <w:lang w:eastAsia="hr-HR"/>
              </w:rPr>
              <w:drawing>
                <wp:inline distT="0" distB="0" distL="0" distR="0" wp14:anchorId="1EA4928E" wp14:editId="2A971E2A">
                  <wp:extent cx="371475" cy="476250"/>
                  <wp:effectExtent l="0" t="0" r="9525" b="0"/>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1475" cy="476250"/>
                          </a:xfrm>
                          <a:prstGeom prst="rect">
                            <a:avLst/>
                          </a:prstGeom>
                          <a:noFill/>
                          <a:ln>
                            <a:noFill/>
                          </a:ln>
                        </pic:spPr>
                      </pic:pic>
                    </a:graphicData>
                  </a:graphic>
                </wp:inline>
              </w:drawing>
            </w:r>
          </w:p>
        </w:tc>
      </w:tr>
      <w:tr w:rsidR="00963C08" w:rsidRPr="00963C08" w14:paraId="67E068BF" w14:textId="77777777" w:rsidTr="00963C08">
        <w:tc>
          <w:tcPr>
            <w:tcW w:w="4111" w:type="dxa"/>
            <w:hideMark/>
          </w:tcPr>
          <w:p w14:paraId="22B7C9FC" w14:textId="77777777" w:rsidR="00963C08" w:rsidRPr="00963C08" w:rsidRDefault="00963C08" w:rsidP="00963C08">
            <w:pPr>
              <w:overflowPunct w:val="0"/>
              <w:autoSpaceDE w:val="0"/>
              <w:autoSpaceDN w:val="0"/>
              <w:adjustRightInd w:val="0"/>
              <w:spacing w:after="0" w:line="240" w:lineRule="auto"/>
              <w:ind w:right="51"/>
              <w:jc w:val="center"/>
              <w:rPr>
                <w:rFonts w:eastAsia="Times New Roman" w:cs="Times New Roman"/>
                <w:b/>
                <w:szCs w:val="24"/>
                <w:lang w:eastAsia="hr-HR"/>
              </w:rPr>
            </w:pPr>
            <w:r w:rsidRPr="00963C08">
              <w:rPr>
                <w:rFonts w:eastAsia="Times New Roman" w:cs="Times New Roman"/>
                <w:b/>
                <w:szCs w:val="24"/>
                <w:lang w:eastAsia="hr-HR"/>
              </w:rPr>
              <w:t>REPUBLIKA HRVATSKA ZAGREBAČKA ŽUPANIJA</w:t>
            </w:r>
          </w:p>
          <w:p w14:paraId="7FCC9E43" w14:textId="77777777" w:rsidR="00963C08" w:rsidRPr="00963C08" w:rsidRDefault="00963C08" w:rsidP="00963C08">
            <w:pPr>
              <w:keepNext/>
              <w:overflowPunct w:val="0"/>
              <w:autoSpaceDE w:val="0"/>
              <w:autoSpaceDN w:val="0"/>
              <w:adjustRightInd w:val="0"/>
              <w:spacing w:after="0" w:line="240" w:lineRule="auto"/>
              <w:jc w:val="left"/>
              <w:outlineLvl w:val="0"/>
              <w:rPr>
                <w:rFonts w:eastAsia="Times New Roman" w:cs="Times New Roman"/>
                <w:b/>
                <w:szCs w:val="24"/>
                <w:lang w:eastAsia="hr-HR"/>
              </w:rPr>
            </w:pPr>
            <w:r w:rsidRPr="00963C08">
              <w:rPr>
                <w:rFonts w:eastAsia="Times New Roman" w:cs="Times New Roman"/>
                <w:b/>
                <w:szCs w:val="24"/>
                <w:lang w:eastAsia="hr-HR"/>
              </w:rPr>
              <w:t xml:space="preserve">           GRAD VELIKA GORICA                 </w:t>
            </w:r>
          </w:p>
        </w:tc>
      </w:tr>
    </w:tbl>
    <w:p w14:paraId="271F63B2" w14:textId="77777777" w:rsidR="00963C08" w:rsidRPr="00963C08" w:rsidRDefault="00963C08" w:rsidP="00963C08">
      <w:pPr>
        <w:overflowPunct w:val="0"/>
        <w:autoSpaceDE w:val="0"/>
        <w:autoSpaceDN w:val="0"/>
        <w:adjustRightInd w:val="0"/>
        <w:spacing w:after="0" w:line="240" w:lineRule="auto"/>
        <w:jc w:val="left"/>
        <w:rPr>
          <w:rFonts w:eastAsia="Times New Roman" w:cs="Times New Roman"/>
          <w:b/>
          <w:szCs w:val="24"/>
          <w:lang w:eastAsia="hr-HR"/>
        </w:rPr>
      </w:pPr>
      <w:r w:rsidRPr="00963C08">
        <w:rPr>
          <w:rFonts w:eastAsia="Times New Roman" w:cs="Times New Roman"/>
          <w:b/>
          <w:szCs w:val="24"/>
          <w:lang w:eastAsia="hr-HR"/>
        </w:rPr>
        <w:t xml:space="preserve">               GRADSKO VIJEĆE</w:t>
      </w:r>
    </w:p>
    <w:p w14:paraId="7A406440" w14:textId="77777777" w:rsidR="00963C08" w:rsidRPr="00963C08" w:rsidRDefault="00963C08" w:rsidP="00963C08">
      <w:pPr>
        <w:overflowPunct w:val="0"/>
        <w:autoSpaceDE w:val="0"/>
        <w:autoSpaceDN w:val="0"/>
        <w:adjustRightInd w:val="0"/>
        <w:spacing w:after="0" w:line="240" w:lineRule="auto"/>
        <w:jc w:val="left"/>
        <w:rPr>
          <w:rFonts w:eastAsia="Times New Roman" w:cs="Times New Roman"/>
          <w:b/>
          <w:bCs/>
          <w:i/>
          <w:iCs/>
          <w:szCs w:val="24"/>
          <w:lang w:eastAsia="hr-HR"/>
        </w:rPr>
      </w:pPr>
    </w:p>
    <w:p w14:paraId="1352DB1F" w14:textId="3185358C" w:rsidR="00963C08" w:rsidRPr="00963C08" w:rsidRDefault="00963C08" w:rsidP="00963C08">
      <w:pPr>
        <w:overflowPunct w:val="0"/>
        <w:autoSpaceDE w:val="0"/>
        <w:autoSpaceDN w:val="0"/>
        <w:adjustRightInd w:val="0"/>
        <w:spacing w:after="0" w:line="240" w:lineRule="auto"/>
        <w:jc w:val="left"/>
        <w:rPr>
          <w:rFonts w:eastAsia="Times New Roman" w:cs="Times New Roman"/>
          <w:szCs w:val="24"/>
          <w:lang w:eastAsia="hr-HR"/>
        </w:rPr>
      </w:pPr>
      <w:r w:rsidRPr="00963C08">
        <w:rPr>
          <w:rFonts w:eastAsia="Times New Roman" w:cs="Times New Roman"/>
          <w:szCs w:val="24"/>
          <w:lang w:eastAsia="hr-HR"/>
        </w:rPr>
        <w:t>KLASA:024-01/2026-04/</w:t>
      </w:r>
      <w:r w:rsidR="00CA34F5">
        <w:rPr>
          <w:rFonts w:eastAsia="Times New Roman" w:cs="Times New Roman"/>
          <w:szCs w:val="24"/>
          <w:lang w:eastAsia="hr-HR"/>
        </w:rPr>
        <w:t>44</w:t>
      </w:r>
      <w:bookmarkStart w:id="0" w:name="_GoBack"/>
      <w:bookmarkEnd w:id="0"/>
    </w:p>
    <w:p w14:paraId="6CACEF14" w14:textId="77777777" w:rsidR="00963C08" w:rsidRPr="00963C08" w:rsidRDefault="00963C08" w:rsidP="00963C08">
      <w:pPr>
        <w:overflowPunct w:val="0"/>
        <w:autoSpaceDE w:val="0"/>
        <w:autoSpaceDN w:val="0"/>
        <w:adjustRightInd w:val="0"/>
        <w:spacing w:after="0" w:line="240" w:lineRule="auto"/>
        <w:jc w:val="left"/>
        <w:rPr>
          <w:rFonts w:eastAsia="Times New Roman" w:cs="Times New Roman"/>
          <w:szCs w:val="24"/>
          <w:lang w:eastAsia="hr-HR"/>
        </w:rPr>
      </w:pPr>
      <w:r w:rsidRPr="00963C08">
        <w:rPr>
          <w:rFonts w:eastAsia="Times New Roman" w:cs="Times New Roman"/>
          <w:szCs w:val="24"/>
          <w:lang w:eastAsia="hr-HR"/>
        </w:rPr>
        <w:t>URBROJ:238-31-02-2026-01</w:t>
      </w:r>
    </w:p>
    <w:p w14:paraId="415CC2A9" w14:textId="77777777" w:rsidR="00963C08" w:rsidRPr="00963C08" w:rsidRDefault="00963C08" w:rsidP="00963C08">
      <w:pPr>
        <w:overflowPunct w:val="0"/>
        <w:autoSpaceDE w:val="0"/>
        <w:autoSpaceDN w:val="0"/>
        <w:adjustRightInd w:val="0"/>
        <w:spacing w:after="0" w:line="240" w:lineRule="auto"/>
        <w:jc w:val="left"/>
        <w:rPr>
          <w:rFonts w:eastAsia="Times New Roman" w:cs="Times New Roman"/>
          <w:szCs w:val="24"/>
          <w:lang w:eastAsia="hr-HR"/>
        </w:rPr>
      </w:pPr>
      <w:r w:rsidRPr="00963C08">
        <w:rPr>
          <w:rFonts w:eastAsia="Times New Roman" w:cs="Times New Roman"/>
          <w:szCs w:val="24"/>
          <w:lang w:eastAsia="hr-HR"/>
        </w:rPr>
        <w:t>U Velikoj Gorici, 18. kolovoza 2026.</w:t>
      </w:r>
    </w:p>
    <w:p w14:paraId="00A21E02" w14:textId="77777777" w:rsidR="00963C08" w:rsidRDefault="00963C08" w:rsidP="000101FD">
      <w:pPr>
        <w:pStyle w:val="Tijeloteksta"/>
        <w:rPr>
          <w:rFonts w:asciiTheme="minorHAnsi" w:hAnsiTheme="minorHAnsi" w:cstheme="minorHAnsi"/>
          <w:sz w:val="22"/>
        </w:rPr>
      </w:pPr>
    </w:p>
    <w:p w14:paraId="3CACA6CF" w14:textId="30369FF6" w:rsidR="005A597F" w:rsidRPr="005360C3" w:rsidRDefault="005C6022" w:rsidP="000101FD">
      <w:pPr>
        <w:pStyle w:val="Tijeloteksta"/>
        <w:rPr>
          <w:rFonts w:asciiTheme="minorHAnsi" w:hAnsiTheme="minorHAnsi" w:cstheme="minorHAnsi"/>
          <w:sz w:val="22"/>
        </w:rPr>
      </w:pPr>
      <w:r w:rsidRPr="005360C3">
        <w:rPr>
          <w:rFonts w:asciiTheme="minorHAnsi" w:hAnsiTheme="minorHAnsi" w:cstheme="minorHAnsi"/>
          <w:sz w:val="22"/>
        </w:rPr>
        <w:t>U skladu sa člancima 107., 108., 109. i 110. Zakona o prostornom uređenju (</w:t>
      </w:r>
      <w:r w:rsidR="000101FD" w:rsidRPr="005360C3">
        <w:rPr>
          <w:rFonts w:asciiTheme="minorHAnsi" w:hAnsiTheme="minorHAnsi" w:cstheme="minorHAnsi"/>
          <w:sz w:val="22"/>
        </w:rPr>
        <w:t>NN</w:t>
      </w:r>
      <w:r w:rsidRPr="005360C3">
        <w:rPr>
          <w:rFonts w:asciiTheme="minorHAnsi" w:hAnsiTheme="minorHAnsi" w:cstheme="minorHAnsi"/>
          <w:sz w:val="22"/>
        </w:rPr>
        <w:t xml:space="preserve"> 153/13, 65/17, 114/18, 39/19</w:t>
      </w:r>
      <w:r w:rsidR="009E0153" w:rsidRPr="005360C3">
        <w:rPr>
          <w:rFonts w:asciiTheme="minorHAnsi" w:hAnsiTheme="minorHAnsi" w:cstheme="minorHAnsi"/>
          <w:sz w:val="22"/>
        </w:rPr>
        <w:t xml:space="preserve">, </w:t>
      </w:r>
      <w:r w:rsidRPr="005360C3">
        <w:rPr>
          <w:rFonts w:asciiTheme="minorHAnsi" w:hAnsiTheme="minorHAnsi" w:cstheme="minorHAnsi"/>
          <w:sz w:val="22"/>
        </w:rPr>
        <w:t>98/19</w:t>
      </w:r>
      <w:r w:rsidR="009E0153" w:rsidRPr="005360C3">
        <w:rPr>
          <w:rFonts w:asciiTheme="minorHAnsi" w:hAnsiTheme="minorHAnsi" w:cstheme="minorHAnsi"/>
          <w:sz w:val="22"/>
        </w:rPr>
        <w:t>, 67/23</w:t>
      </w:r>
      <w:r w:rsidRPr="005360C3">
        <w:rPr>
          <w:rFonts w:asciiTheme="minorHAnsi" w:hAnsiTheme="minorHAnsi" w:cstheme="minorHAnsi"/>
          <w:sz w:val="22"/>
        </w:rPr>
        <w:t>), a sukladno Odluci o izradi V</w:t>
      </w:r>
      <w:r w:rsidR="009E0153" w:rsidRPr="005360C3">
        <w:rPr>
          <w:rFonts w:asciiTheme="minorHAnsi" w:hAnsiTheme="minorHAnsi" w:cstheme="minorHAnsi"/>
          <w:sz w:val="22"/>
        </w:rPr>
        <w:t>I</w:t>
      </w:r>
      <w:r w:rsidRPr="005360C3">
        <w:rPr>
          <w:rFonts w:asciiTheme="minorHAnsi" w:hAnsiTheme="minorHAnsi" w:cstheme="minorHAnsi"/>
          <w:sz w:val="22"/>
        </w:rPr>
        <w:t xml:space="preserve">. </w:t>
      </w:r>
      <w:r w:rsidR="00974D5C" w:rsidRPr="005360C3">
        <w:rPr>
          <w:rFonts w:asciiTheme="minorHAnsi" w:hAnsiTheme="minorHAnsi" w:cstheme="minorHAnsi"/>
          <w:sz w:val="22"/>
        </w:rPr>
        <w:t>Ciljanih i</w:t>
      </w:r>
      <w:r w:rsidRPr="005360C3">
        <w:rPr>
          <w:rFonts w:asciiTheme="minorHAnsi" w:hAnsiTheme="minorHAnsi" w:cstheme="minorHAnsi"/>
          <w:sz w:val="22"/>
        </w:rPr>
        <w:t xml:space="preserve">zmjena i dopuna Prostornog plana uređenja Grada </w:t>
      </w:r>
      <w:r w:rsidR="006E1865" w:rsidRPr="005360C3">
        <w:rPr>
          <w:rFonts w:asciiTheme="minorHAnsi" w:hAnsiTheme="minorHAnsi" w:cstheme="minorHAnsi"/>
          <w:sz w:val="22"/>
        </w:rPr>
        <w:t>Velike Gorice</w:t>
      </w:r>
      <w:r w:rsidR="000101FD" w:rsidRPr="005360C3">
        <w:rPr>
          <w:rFonts w:asciiTheme="minorHAnsi" w:hAnsiTheme="minorHAnsi" w:cstheme="minorHAnsi"/>
          <w:sz w:val="22"/>
        </w:rPr>
        <w:t xml:space="preserve"> (Sl. glasnik GVG, </w:t>
      </w:r>
      <w:r w:rsidR="006E1865" w:rsidRPr="005360C3">
        <w:rPr>
          <w:rFonts w:asciiTheme="minorHAnsi" w:hAnsiTheme="minorHAnsi" w:cstheme="minorHAnsi"/>
          <w:sz w:val="22"/>
        </w:rPr>
        <w:t>8/23</w:t>
      </w:r>
      <w:r w:rsidRPr="005360C3">
        <w:rPr>
          <w:rFonts w:asciiTheme="minorHAnsi" w:hAnsiTheme="minorHAnsi" w:cstheme="minorHAnsi"/>
          <w:sz w:val="22"/>
        </w:rPr>
        <w:t xml:space="preserve">), Odluci o </w:t>
      </w:r>
      <w:r w:rsidR="00974D5C" w:rsidRPr="005360C3">
        <w:rPr>
          <w:rFonts w:asciiTheme="minorHAnsi" w:hAnsiTheme="minorHAnsi" w:cstheme="minorHAnsi"/>
          <w:sz w:val="22"/>
        </w:rPr>
        <w:t>i</w:t>
      </w:r>
      <w:r w:rsidRPr="005360C3">
        <w:rPr>
          <w:rFonts w:asciiTheme="minorHAnsi" w:hAnsiTheme="minorHAnsi" w:cstheme="minorHAnsi"/>
          <w:sz w:val="22"/>
        </w:rPr>
        <w:t>zmjeni i dopuni Odluke o izradi V</w:t>
      </w:r>
      <w:r w:rsidR="009E0153" w:rsidRPr="005360C3">
        <w:rPr>
          <w:rFonts w:asciiTheme="minorHAnsi" w:hAnsiTheme="minorHAnsi" w:cstheme="minorHAnsi"/>
          <w:sz w:val="22"/>
        </w:rPr>
        <w:t>I</w:t>
      </w:r>
      <w:r w:rsidRPr="005360C3">
        <w:rPr>
          <w:rFonts w:asciiTheme="minorHAnsi" w:hAnsiTheme="minorHAnsi" w:cstheme="minorHAnsi"/>
          <w:sz w:val="22"/>
        </w:rPr>
        <w:t xml:space="preserve">. </w:t>
      </w:r>
      <w:r w:rsidR="00974D5C" w:rsidRPr="005360C3">
        <w:rPr>
          <w:rFonts w:asciiTheme="minorHAnsi" w:hAnsiTheme="minorHAnsi" w:cstheme="minorHAnsi"/>
          <w:sz w:val="22"/>
        </w:rPr>
        <w:t>Ciljanih i</w:t>
      </w:r>
      <w:r w:rsidRPr="005360C3">
        <w:rPr>
          <w:rFonts w:asciiTheme="minorHAnsi" w:hAnsiTheme="minorHAnsi" w:cstheme="minorHAnsi"/>
          <w:sz w:val="22"/>
        </w:rPr>
        <w:t xml:space="preserve">zmjena i dopuna Prostornog plana uređenja Grada </w:t>
      </w:r>
      <w:r w:rsidR="006E1865" w:rsidRPr="005360C3">
        <w:rPr>
          <w:rFonts w:asciiTheme="minorHAnsi" w:hAnsiTheme="minorHAnsi" w:cstheme="minorHAnsi"/>
          <w:sz w:val="22"/>
        </w:rPr>
        <w:t>Velike Gorice (</w:t>
      </w:r>
      <w:r w:rsidR="000101FD" w:rsidRPr="005360C3">
        <w:rPr>
          <w:rFonts w:asciiTheme="minorHAnsi" w:hAnsiTheme="minorHAnsi" w:cstheme="minorHAnsi"/>
          <w:sz w:val="22"/>
        </w:rPr>
        <w:t xml:space="preserve">Sl. glasnik GVG , </w:t>
      </w:r>
      <w:r w:rsidR="006E1865" w:rsidRPr="005360C3">
        <w:rPr>
          <w:rFonts w:asciiTheme="minorHAnsi" w:hAnsiTheme="minorHAnsi" w:cstheme="minorHAnsi"/>
          <w:sz w:val="22"/>
        </w:rPr>
        <w:t>7/24</w:t>
      </w:r>
      <w:r w:rsidRPr="005360C3">
        <w:rPr>
          <w:rFonts w:asciiTheme="minorHAnsi" w:hAnsiTheme="minorHAnsi" w:cstheme="minorHAnsi"/>
          <w:sz w:val="22"/>
        </w:rPr>
        <w:t xml:space="preserve">) i </w:t>
      </w:r>
      <w:r w:rsidR="006E1865" w:rsidRPr="005360C3">
        <w:rPr>
          <w:rFonts w:asciiTheme="minorHAnsi" w:hAnsiTheme="minorHAnsi" w:cstheme="minorHAnsi"/>
          <w:sz w:val="22"/>
        </w:rPr>
        <w:t>mišljenja</w:t>
      </w:r>
      <w:r w:rsidRPr="005360C3">
        <w:rPr>
          <w:rFonts w:asciiTheme="minorHAnsi" w:hAnsiTheme="minorHAnsi" w:cstheme="minorHAnsi"/>
          <w:sz w:val="22"/>
        </w:rPr>
        <w:t xml:space="preserve"> </w:t>
      </w:r>
      <w:r w:rsidR="006E1865" w:rsidRPr="005360C3">
        <w:rPr>
          <w:rFonts w:asciiTheme="minorHAnsi" w:hAnsiTheme="minorHAnsi" w:cstheme="minorHAnsi"/>
          <w:sz w:val="22"/>
        </w:rPr>
        <w:t>Zavoda za prostorno uređenje Zagrebačke županije prema članku 107. Zakona o prostornom uređenju</w:t>
      </w:r>
      <w:r w:rsidRPr="005360C3">
        <w:rPr>
          <w:rFonts w:asciiTheme="minorHAnsi" w:hAnsiTheme="minorHAnsi" w:cstheme="minorHAnsi"/>
          <w:sz w:val="22"/>
        </w:rPr>
        <w:t xml:space="preserve"> (</w:t>
      </w:r>
      <w:r w:rsidR="006E1865" w:rsidRPr="005360C3">
        <w:rPr>
          <w:rFonts w:asciiTheme="minorHAnsi" w:hAnsiTheme="minorHAnsi" w:cstheme="minorHAnsi"/>
          <w:sz w:val="22"/>
        </w:rPr>
        <w:t>KLASA: 350-02/26-03/20, URBROJ: 238/1-126-26-2, od 28. srpnja 2026.</w:t>
      </w:r>
      <w:r w:rsidRPr="005360C3">
        <w:rPr>
          <w:rFonts w:asciiTheme="minorHAnsi" w:hAnsiTheme="minorHAnsi" w:cstheme="minorHAnsi"/>
          <w:sz w:val="22"/>
        </w:rPr>
        <w:t>)</w:t>
      </w:r>
      <w:r w:rsidR="000101FD" w:rsidRPr="005360C3">
        <w:rPr>
          <w:rFonts w:asciiTheme="minorHAnsi" w:hAnsiTheme="minorHAnsi" w:cstheme="minorHAnsi"/>
          <w:sz w:val="22"/>
        </w:rPr>
        <w:t xml:space="preserve"> i članka 33. Statuta Grada Velike Gorice (Sl. Glasnik GVG 1/12, 2/18 i 2/19 – pročišćeni tekst) Gradsko vijeće Grada Velike Gorice, na </w:t>
      </w:r>
      <w:r w:rsidR="00963C08">
        <w:rPr>
          <w:rFonts w:asciiTheme="minorHAnsi" w:hAnsiTheme="minorHAnsi" w:cstheme="minorHAnsi"/>
          <w:sz w:val="22"/>
        </w:rPr>
        <w:t>7.</w:t>
      </w:r>
      <w:r w:rsidR="000101FD" w:rsidRPr="005360C3">
        <w:rPr>
          <w:rFonts w:asciiTheme="minorHAnsi" w:hAnsiTheme="minorHAnsi" w:cstheme="minorHAnsi"/>
          <w:sz w:val="22"/>
        </w:rPr>
        <w:t xml:space="preserve"> sjednici održanoj dana </w:t>
      </w:r>
      <w:r w:rsidR="00963C08">
        <w:rPr>
          <w:rFonts w:asciiTheme="minorHAnsi" w:hAnsiTheme="minorHAnsi" w:cstheme="minorHAnsi"/>
          <w:sz w:val="22"/>
        </w:rPr>
        <w:t>18. kolovoza</w:t>
      </w:r>
      <w:r w:rsidR="000101FD" w:rsidRPr="005360C3">
        <w:rPr>
          <w:rFonts w:asciiTheme="minorHAnsi" w:hAnsiTheme="minorHAnsi" w:cstheme="minorHAnsi"/>
          <w:sz w:val="22"/>
        </w:rPr>
        <w:t xml:space="preserve"> 202</w:t>
      </w:r>
      <w:r w:rsidR="00E747DA">
        <w:rPr>
          <w:rFonts w:asciiTheme="minorHAnsi" w:hAnsiTheme="minorHAnsi" w:cstheme="minorHAnsi"/>
          <w:sz w:val="22"/>
        </w:rPr>
        <w:t>6</w:t>
      </w:r>
      <w:r w:rsidR="000101FD" w:rsidRPr="005360C3">
        <w:rPr>
          <w:rFonts w:asciiTheme="minorHAnsi" w:hAnsiTheme="minorHAnsi" w:cstheme="minorHAnsi"/>
          <w:sz w:val="22"/>
        </w:rPr>
        <w:t>. godine donijelo je</w:t>
      </w:r>
    </w:p>
    <w:p w14:paraId="6821BE51" w14:textId="27741B81" w:rsidR="005C6022" w:rsidRPr="005360C3" w:rsidRDefault="005C6022" w:rsidP="005C6022">
      <w:pPr>
        <w:spacing w:after="0"/>
        <w:jc w:val="center"/>
        <w:rPr>
          <w:rFonts w:asciiTheme="minorHAnsi" w:hAnsiTheme="minorHAnsi" w:cstheme="minorHAnsi"/>
          <w:b/>
          <w:bCs/>
          <w:sz w:val="22"/>
        </w:rPr>
      </w:pPr>
      <w:r w:rsidRPr="005360C3">
        <w:rPr>
          <w:rFonts w:asciiTheme="minorHAnsi" w:hAnsiTheme="minorHAnsi" w:cstheme="minorHAnsi"/>
          <w:b/>
          <w:bCs/>
          <w:sz w:val="22"/>
        </w:rPr>
        <w:t>ODLUKU</w:t>
      </w:r>
    </w:p>
    <w:p w14:paraId="2C4FF8FC" w14:textId="3EC9E563" w:rsidR="005C6022" w:rsidRPr="005360C3" w:rsidRDefault="005C6022" w:rsidP="00684EF5">
      <w:pPr>
        <w:spacing w:after="0" w:line="240" w:lineRule="auto"/>
        <w:jc w:val="center"/>
        <w:rPr>
          <w:rFonts w:asciiTheme="minorHAnsi" w:hAnsiTheme="minorHAnsi" w:cstheme="minorHAnsi"/>
          <w:b/>
          <w:bCs/>
          <w:sz w:val="22"/>
        </w:rPr>
      </w:pPr>
      <w:r w:rsidRPr="005360C3">
        <w:rPr>
          <w:rFonts w:asciiTheme="minorHAnsi" w:hAnsiTheme="minorHAnsi" w:cstheme="minorHAnsi"/>
          <w:b/>
          <w:bCs/>
          <w:sz w:val="22"/>
        </w:rPr>
        <w:t>o donošenju V</w:t>
      </w:r>
      <w:r w:rsidR="009E0153" w:rsidRPr="005360C3">
        <w:rPr>
          <w:rFonts w:asciiTheme="minorHAnsi" w:hAnsiTheme="minorHAnsi" w:cstheme="minorHAnsi"/>
          <w:b/>
          <w:bCs/>
          <w:sz w:val="22"/>
        </w:rPr>
        <w:t>I</w:t>
      </w:r>
      <w:r w:rsidRPr="005360C3">
        <w:rPr>
          <w:rFonts w:asciiTheme="minorHAnsi" w:hAnsiTheme="minorHAnsi" w:cstheme="minorHAnsi"/>
          <w:b/>
          <w:bCs/>
          <w:sz w:val="22"/>
        </w:rPr>
        <w:t xml:space="preserve">. </w:t>
      </w:r>
      <w:r w:rsidR="00974D5C" w:rsidRPr="005360C3">
        <w:rPr>
          <w:rFonts w:asciiTheme="minorHAnsi" w:hAnsiTheme="minorHAnsi" w:cstheme="minorHAnsi"/>
          <w:b/>
          <w:bCs/>
          <w:sz w:val="22"/>
        </w:rPr>
        <w:t>Ciljanih i</w:t>
      </w:r>
      <w:r w:rsidRPr="005360C3">
        <w:rPr>
          <w:rFonts w:asciiTheme="minorHAnsi" w:hAnsiTheme="minorHAnsi" w:cstheme="minorHAnsi"/>
          <w:b/>
          <w:bCs/>
          <w:sz w:val="22"/>
        </w:rPr>
        <w:t>zmjena i dopuna</w:t>
      </w:r>
    </w:p>
    <w:p w14:paraId="01A228A4" w14:textId="54BECC9C" w:rsidR="005C6022" w:rsidRPr="005360C3" w:rsidRDefault="005C6022" w:rsidP="00684EF5">
      <w:pPr>
        <w:spacing w:after="0" w:line="240" w:lineRule="auto"/>
        <w:jc w:val="center"/>
        <w:rPr>
          <w:rFonts w:asciiTheme="minorHAnsi" w:hAnsiTheme="minorHAnsi" w:cstheme="minorHAnsi"/>
          <w:b/>
          <w:bCs/>
          <w:sz w:val="22"/>
        </w:rPr>
      </w:pPr>
      <w:r w:rsidRPr="005360C3">
        <w:rPr>
          <w:rFonts w:asciiTheme="minorHAnsi" w:hAnsiTheme="minorHAnsi" w:cstheme="minorHAnsi"/>
          <w:b/>
          <w:bCs/>
          <w:sz w:val="22"/>
        </w:rPr>
        <w:t xml:space="preserve">Prostornog plana uređenja Grada </w:t>
      </w:r>
      <w:r w:rsidR="006E1865" w:rsidRPr="005360C3">
        <w:rPr>
          <w:rFonts w:asciiTheme="minorHAnsi" w:hAnsiTheme="minorHAnsi" w:cstheme="minorHAnsi"/>
          <w:b/>
          <w:bCs/>
          <w:sz w:val="22"/>
        </w:rPr>
        <w:t>Velike Gorice</w:t>
      </w:r>
    </w:p>
    <w:p w14:paraId="084FF0D3" w14:textId="4C0F53BE" w:rsidR="005C6022" w:rsidRPr="005360C3" w:rsidRDefault="005C6022" w:rsidP="005C6022">
      <w:pPr>
        <w:spacing w:after="0"/>
        <w:jc w:val="center"/>
        <w:rPr>
          <w:rFonts w:asciiTheme="minorHAnsi" w:hAnsiTheme="minorHAnsi" w:cstheme="minorHAnsi"/>
          <w:sz w:val="22"/>
        </w:rPr>
      </w:pPr>
    </w:p>
    <w:p w14:paraId="5FAA47FA" w14:textId="77777777" w:rsidR="00444BA6" w:rsidRPr="005360C3" w:rsidRDefault="00444BA6" w:rsidP="00444BA6">
      <w:pPr>
        <w:rPr>
          <w:rFonts w:asciiTheme="minorHAnsi" w:hAnsiTheme="minorHAnsi" w:cstheme="minorHAnsi"/>
          <w:sz w:val="22"/>
        </w:rPr>
      </w:pPr>
      <w:r w:rsidRPr="005360C3">
        <w:rPr>
          <w:rFonts w:asciiTheme="minorHAnsi" w:hAnsiTheme="minorHAnsi" w:cstheme="minorHAnsi"/>
          <w:sz w:val="22"/>
        </w:rPr>
        <w:t>I. OPĆE ODREDBE</w:t>
      </w:r>
    </w:p>
    <w:p w14:paraId="7449BF7D" w14:textId="77777777" w:rsidR="00444BA6" w:rsidRPr="005360C3" w:rsidRDefault="00444BA6" w:rsidP="00DC4B11">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5CD6E4C8" w14:textId="5791FE99" w:rsidR="00444BA6" w:rsidRPr="005360C3" w:rsidRDefault="00444BA6" w:rsidP="00684EF5">
      <w:pPr>
        <w:spacing w:line="240" w:lineRule="auto"/>
        <w:rPr>
          <w:rFonts w:asciiTheme="minorHAnsi" w:hAnsiTheme="minorHAnsi" w:cstheme="minorHAnsi"/>
          <w:sz w:val="22"/>
        </w:rPr>
      </w:pPr>
      <w:r w:rsidRPr="005360C3">
        <w:rPr>
          <w:rFonts w:asciiTheme="minorHAnsi" w:hAnsiTheme="minorHAnsi" w:cstheme="minorHAnsi"/>
          <w:sz w:val="22"/>
        </w:rPr>
        <w:t>Donose se V</w:t>
      </w:r>
      <w:r w:rsidR="009E0153" w:rsidRPr="005360C3">
        <w:rPr>
          <w:rFonts w:asciiTheme="minorHAnsi" w:hAnsiTheme="minorHAnsi" w:cstheme="minorHAnsi"/>
          <w:sz w:val="22"/>
        </w:rPr>
        <w:t>I</w:t>
      </w:r>
      <w:r w:rsidRPr="005360C3">
        <w:rPr>
          <w:rFonts w:asciiTheme="minorHAnsi" w:hAnsiTheme="minorHAnsi" w:cstheme="minorHAnsi"/>
          <w:sz w:val="22"/>
        </w:rPr>
        <w:t xml:space="preserve">. </w:t>
      </w:r>
      <w:bookmarkStart w:id="1" w:name="_Hlk150932524"/>
      <w:r w:rsidR="00974D5C" w:rsidRPr="005360C3">
        <w:rPr>
          <w:rFonts w:asciiTheme="minorHAnsi" w:hAnsiTheme="minorHAnsi" w:cstheme="minorHAnsi"/>
          <w:sz w:val="22"/>
        </w:rPr>
        <w:t>Ciljane</w:t>
      </w:r>
      <w:bookmarkEnd w:id="1"/>
      <w:r w:rsidR="00974D5C" w:rsidRPr="005360C3">
        <w:rPr>
          <w:rFonts w:asciiTheme="minorHAnsi" w:hAnsiTheme="minorHAnsi" w:cstheme="minorHAnsi"/>
          <w:sz w:val="22"/>
        </w:rPr>
        <w:t xml:space="preserve"> i</w:t>
      </w:r>
      <w:r w:rsidRPr="005360C3">
        <w:rPr>
          <w:rFonts w:asciiTheme="minorHAnsi" w:hAnsiTheme="minorHAnsi" w:cstheme="minorHAnsi"/>
          <w:sz w:val="22"/>
        </w:rPr>
        <w:t xml:space="preserve">zmjene i dopune Prostornog plana uređenja Grada </w:t>
      </w:r>
      <w:r w:rsidR="006E1865" w:rsidRPr="005360C3">
        <w:rPr>
          <w:rFonts w:asciiTheme="minorHAnsi" w:hAnsiTheme="minorHAnsi" w:cstheme="minorHAnsi"/>
          <w:sz w:val="22"/>
        </w:rPr>
        <w:t>Velike Gorice (Službeni glasnik Grada Velike Gorice broj 10/06, 6/08, 5/14, 6/14-Ispravak Odluke, 8/14-pročišćeni tekst, 2/15, 3/15-pročišćeni tekst, 3/23 i 7/23-pročišćeni tekst)</w:t>
      </w:r>
      <w:r w:rsidRPr="005360C3">
        <w:rPr>
          <w:rFonts w:asciiTheme="minorHAnsi" w:hAnsiTheme="minorHAnsi" w:cstheme="minorHAnsi"/>
          <w:sz w:val="22"/>
        </w:rPr>
        <w:t>, u daljnjem tekstu „Plan“.</w:t>
      </w:r>
    </w:p>
    <w:p w14:paraId="3B13B136" w14:textId="49A5A943" w:rsidR="00444BA6" w:rsidRPr="005360C3" w:rsidRDefault="00444BA6" w:rsidP="00684EF5">
      <w:pPr>
        <w:spacing w:line="240" w:lineRule="auto"/>
        <w:rPr>
          <w:rFonts w:asciiTheme="minorHAnsi" w:hAnsiTheme="minorHAnsi" w:cstheme="minorHAnsi"/>
          <w:sz w:val="22"/>
        </w:rPr>
      </w:pPr>
      <w:r w:rsidRPr="005360C3">
        <w:rPr>
          <w:rFonts w:asciiTheme="minorHAnsi" w:hAnsiTheme="minorHAnsi" w:cstheme="minorHAnsi"/>
          <w:sz w:val="22"/>
        </w:rPr>
        <w:t>Elaborat Plana izradio je i ovjerio stručni izrađivač –</w:t>
      </w:r>
      <w:r w:rsidR="006E1865" w:rsidRPr="005360C3">
        <w:rPr>
          <w:rFonts w:asciiTheme="minorHAnsi" w:hAnsiTheme="minorHAnsi" w:cstheme="minorHAnsi"/>
          <w:sz w:val="22"/>
        </w:rPr>
        <w:t>Zona sto</w:t>
      </w:r>
      <w:r w:rsidRPr="005360C3">
        <w:rPr>
          <w:rFonts w:asciiTheme="minorHAnsi" w:hAnsiTheme="minorHAnsi" w:cstheme="minorHAnsi"/>
          <w:sz w:val="22"/>
        </w:rPr>
        <w:t xml:space="preserve"> d.o.o. iz Zagreba.</w:t>
      </w:r>
    </w:p>
    <w:p w14:paraId="349DD18F" w14:textId="77777777" w:rsidR="00444BA6" w:rsidRPr="005360C3" w:rsidRDefault="00444BA6" w:rsidP="00DC4B11">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5DF08113" w14:textId="17B8B415" w:rsidR="00444BA6" w:rsidRPr="005360C3" w:rsidRDefault="00444BA6" w:rsidP="00444BA6">
      <w:pPr>
        <w:rPr>
          <w:rFonts w:asciiTheme="minorHAnsi" w:hAnsiTheme="minorHAnsi" w:cstheme="minorHAnsi"/>
          <w:sz w:val="22"/>
        </w:rPr>
      </w:pPr>
      <w:r w:rsidRPr="005360C3">
        <w:rPr>
          <w:rFonts w:asciiTheme="minorHAnsi" w:hAnsiTheme="minorHAnsi" w:cstheme="minorHAnsi"/>
          <w:sz w:val="22"/>
        </w:rPr>
        <w:t>Plan je sadržan u elaboratu V</w:t>
      </w:r>
      <w:r w:rsidR="009E0153" w:rsidRPr="005360C3">
        <w:rPr>
          <w:rFonts w:asciiTheme="minorHAnsi" w:hAnsiTheme="minorHAnsi" w:cstheme="minorHAnsi"/>
          <w:sz w:val="22"/>
        </w:rPr>
        <w:t>I</w:t>
      </w:r>
      <w:r w:rsidRPr="005360C3">
        <w:rPr>
          <w:rFonts w:asciiTheme="minorHAnsi" w:hAnsiTheme="minorHAnsi" w:cstheme="minorHAnsi"/>
          <w:sz w:val="22"/>
        </w:rPr>
        <w:t xml:space="preserve">. </w:t>
      </w:r>
      <w:r w:rsidR="00270DC9" w:rsidRPr="005360C3">
        <w:rPr>
          <w:rFonts w:asciiTheme="minorHAnsi" w:hAnsiTheme="minorHAnsi" w:cstheme="minorHAnsi"/>
          <w:sz w:val="22"/>
        </w:rPr>
        <w:t>Ciljane i</w:t>
      </w:r>
      <w:r w:rsidRPr="005360C3">
        <w:rPr>
          <w:rFonts w:asciiTheme="minorHAnsi" w:hAnsiTheme="minorHAnsi" w:cstheme="minorHAnsi"/>
          <w:sz w:val="22"/>
        </w:rPr>
        <w:t xml:space="preserve">zmjene i dopune Prostornog plana uređenja Grada </w:t>
      </w:r>
      <w:r w:rsidR="00022DEA" w:rsidRPr="005360C3">
        <w:rPr>
          <w:rFonts w:asciiTheme="minorHAnsi" w:hAnsiTheme="minorHAnsi" w:cstheme="minorHAnsi"/>
          <w:sz w:val="22"/>
        </w:rPr>
        <w:t>Velike Gorice</w:t>
      </w:r>
      <w:r w:rsidRPr="005360C3">
        <w:rPr>
          <w:rFonts w:asciiTheme="minorHAnsi" w:hAnsiTheme="minorHAnsi" w:cstheme="minorHAnsi"/>
          <w:sz w:val="22"/>
        </w:rPr>
        <w:t>, a sastoji se</w:t>
      </w:r>
      <w:r w:rsidR="00530DD1" w:rsidRPr="005360C3">
        <w:rPr>
          <w:rFonts w:asciiTheme="minorHAnsi" w:hAnsiTheme="minorHAnsi" w:cstheme="minorHAnsi"/>
          <w:sz w:val="22"/>
        </w:rPr>
        <w:t xml:space="preserve"> od</w:t>
      </w:r>
      <w:r w:rsidRPr="005360C3">
        <w:rPr>
          <w:rFonts w:asciiTheme="minorHAnsi" w:hAnsiTheme="minorHAnsi" w:cstheme="minorHAnsi"/>
          <w:sz w:val="22"/>
        </w:rPr>
        <w:t xml:space="preserve"> tekstualnog i grafičkog dijela Plana te priloga kako slijedi:</w:t>
      </w:r>
    </w:p>
    <w:p w14:paraId="6E94A325" w14:textId="0F49E769" w:rsidR="00444BA6" w:rsidRPr="005360C3" w:rsidRDefault="00444BA6" w:rsidP="007F349E">
      <w:pPr>
        <w:spacing w:line="240" w:lineRule="auto"/>
        <w:rPr>
          <w:rFonts w:asciiTheme="minorHAnsi" w:hAnsiTheme="minorHAnsi" w:cstheme="minorHAnsi"/>
          <w:b/>
          <w:bCs/>
          <w:sz w:val="22"/>
        </w:rPr>
      </w:pPr>
      <w:r w:rsidRPr="005360C3">
        <w:rPr>
          <w:rFonts w:asciiTheme="minorHAnsi" w:hAnsiTheme="minorHAnsi" w:cstheme="minorHAnsi"/>
          <w:b/>
          <w:bCs/>
          <w:sz w:val="22"/>
        </w:rPr>
        <w:tab/>
        <w:t xml:space="preserve">Tekstualni dio Plana - Odredbe za </w:t>
      </w:r>
      <w:r w:rsidR="000B1FB0" w:rsidRPr="005360C3">
        <w:rPr>
          <w:rFonts w:asciiTheme="minorHAnsi" w:hAnsiTheme="minorHAnsi" w:cstheme="minorHAnsi"/>
          <w:b/>
          <w:bCs/>
          <w:sz w:val="22"/>
        </w:rPr>
        <w:t>provođenje</w:t>
      </w:r>
      <w:r w:rsidRPr="005360C3">
        <w:rPr>
          <w:rFonts w:asciiTheme="minorHAnsi" w:hAnsiTheme="minorHAnsi" w:cstheme="minorHAnsi"/>
          <w:b/>
          <w:bCs/>
          <w:sz w:val="22"/>
        </w:rPr>
        <w:t xml:space="preserve"> </w:t>
      </w:r>
    </w:p>
    <w:p w14:paraId="5743BC33" w14:textId="77777777" w:rsidR="00444BA6" w:rsidRPr="005360C3" w:rsidRDefault="00444BA6" w:rsidP="007F349E">
      <w:pPr>
        <w:spacing w:line="240" w:lineRule="auto"/>
        <w:rPr>
          <w:rFonts w:asciiTheme="minorHAnsi" w:hAnsiTheme="minorHAnsi" w:cstheme="minorHAnsi"/>
          <w:b/>
          <w:bCs/>
          <w:sz w:val="22"/>
        </w:rPr>
      </w:pPr>
      <w:r w:rsidRPr="005360C3">
        <w:rPr>
          <w:rFonts w:asciiTheme="minorHAnsi" w:hAnsiTheme="minorHAnsi" w:cstheme="minorHAnsi"/>
          <w:b/>
          <w:bCs/>
          <w:sz w:val="22"/>
        </w:rPr>
        <w:tab/>
        <w:t>Grafički dio Plana:</w:t>
      </w:r>
    </w:p>
    <w:p w14:paraId="5C97D0CF" w14:textId="15FBCB36" w:rsidR="00444BA6" w:rsidRPr="005360C3" w:rsidRDefault="00444BA6" w:rsidP="007F349E">
      <w:pPr>
        <w:spacing w:line="240" w:lineRule="auto"/>
        <w:rPr>
          <w:rFonts w:asciiTheme="minorHAnsi" w:hAnsiTheme="minorHAnsi" w:cstheme="minorHAnsi"/>
          <w:b/>
          <w:bCs/>
          <w:sz w:val="22"/>
        </w:rPr>
      </w:pPr>
      <w:r w:rsidRPr="005360C3">
        <w:rPr>
          <w:rFonts w:asciiTheme="minorHAnsi" w:hAnsiTheme="minorHAnsi" w:cstheme="minorHAnsi"/>
          <w:b/>
          <w:bCs/>
          <w:sz w:val="22"/>
        </w:rPr>
        <w:tab/>
        <w:t xml:space="preserve">kartografski prikazi </w:t>
      </w:r>
    </w:p>
    <w:p w14:paraId="5662FDE7" w14:textId="782683A9" w:rsidR="009E0153" w:rsidRPr="005360C3" w:rsidRDefault="009E0153">
      <w:pPr>
        <w:pStyle w:val="Odlomakpopisa"/>
        <w:numPr>
          <w:ilvl w:val="0"/>
          <w:numId w:val="1"/>
        </w:numPr>
        <w:spacing w:after="0" w:line="240" w:lineRule="auto"/>
        <w:rPr>
          <w:rFonts w:asciiTheme="minorHAnsi" w:hAnsiTheme="minorHAnsi" w:cstheme="minorHAnsi"/>
          <w:sz w:val="22"/>
        </w:rPr>
      </w:pPr>
      <w:r w:rsidRPr="005360C3">
        <w:rPr>
          <w:rFonts w:asciiTheme="minorHAnsi" w:hAnsiTheme="minorHAnsi" w:cstheme="minorHAnsi"/>
          <w:sz w:val="22"/>
        </w:rPr>
        <w:t>Korištenje i namjena površina</w:t>
      </w:r>
      <w:r w:rsidR="000B1FB0" w:rsidRPr="005360C3">
        <w:rPr>
          <w:rFonts w:asciiTheme="minorHAnsi" w:hAnsiTheme="minorHAnsi" w:cstheme="minorHAnsi"/>
          <w:sz w:val="22"/>
        </w:rPr>
        <w:t xml:space="preserve"> </w:t>
      </w:r>
      <w:r w:rsidR="000B1FB0" w:rsidRPr="005360C3">
        <w:rPr>
          <w:rFonts w:asciiTheme="minorHAnsi" w:hAnsiTheme="minorHAnsi" w:cstheme="minorHAnsi"/>
          <w:sz w:val="22"/>
        </w:rPr>
        <w:tab/>
        <w:t>1:25000</w:t>
      </w:r>
    </w:p>
    <w:p w14:paraId="6DD3DC6D" w14:textId="5632DBC9" w:rsidR="000B1FB0" w:rsidRPr="005360C3" w:rsidRDefault="000B1FB0">
      <w:pPr>
        <w:pStyle w:val="Odlomakpopisa"/>
        <w:numPr>
          <w:ilvl w:val="0"/>
          <w:numId w:val="1"/>
        </w:numPr>
        <w:spacing w:after="0" w:line="240" w:lineRule="auto"/>
        <w:rPr>
          <w:rFonts w:asciiTheme="minorHAnsi" w:hAnsiTheme="minorHAnsi" w:cstheme="minorHAnsi"/>
          <w:sz w:val="22"/>
        </w:rPr>
      </w:pPr>
      <w:r w:rsidRPr="005360C3">
        <w:rPr>
          <w:rFonts w:asciiTheme="minorHAnsi" w:hAnsiTheme="minorHAnsi" w:cstheme="minorHAnsi"/>
          <w:sz w:val="22"/>
        </w:rPr>
        <w:t xml:space="preserve">Infrastrukturni sustavi </w:t>
      </w:r>
      <w:r w:rsidRPr="005360C3">
        <w:rPr>
          <w:rFonts w:asciiTheme="minorHAnsi" w:hAnsiTheme="minorHAnsi" w:cstheme="minorHAnsi"/>
          <w:sz w:val="22"/>
        </w:rPr>
        <w:tab/>
      </w:r>
      <w:r w:rsidRPr="005360C3">
        <w:rPr>
          <w:rFonts w:asciiTheme="minorHAnsi" w:hAnsiTheme="minorHAnsi" w:cstheme="minorHAnsi"/>
          <w:sz w:val="22"/>
        </w:rPr>
        <w:tab/>
        <w:t>1:25000</w:t>
      </w:r>
    </w:p>
    <w:p w14:paraId="25E128C9" w14:textId="5AB9F75B" w:rsidR="009E0153" w:rsidRPr="005360C3" w:rsidRDefault="000B1FB0" w:rsidP="007F349E">
      <w:pPr>
        <w:spacing w:after="0" w:line="240" w:lineRule="auto"/>
        <w:ind w:left="709"/>
        <w:rPr>
          <w:rFonts w:asciiTheme="minorHAnsi" w:hAnsiTheme="minorHAnsi" w:cstheme="minorHAnsi"/>
          <w:sz w:val="22"/>
        </w:rPr>
      </w:pPr>
      <w:r w:rsidRPr="005360C3">
        <w:rPr>
          <w:rFonts w:asciiTheme="minorHAnsi" w:hAnsiTheme="minorHAnsi" w:cstheme="minorHAnsi"/>
          <w:sz w:val="22"/>
        </w:rPr>
        <w:t>4.6. Gra</w:t>
      </w:r>
      <w:r w:rsidRPr="005360C3">
        <w:rPr>
          <w:rFonts w:asciiTheme="minorHAnsi" w:hAnsiTheme="minorHAnsi" w:cstheme="minorHAnsi"/>
          <w:spacing w:val="-3"/>
          <w:sz w:val="22"/>
        </w:rPr>
        <w:t>đ</w:t>
      </w:r>
      <w:r w:rsidRPr="005360C3">
        <w:rPr>
          <w:rFonts w:asciiTheme="minorHAnsi" w:hAnsiTheme="minorHAnsi" w:cstheme="minorHAnsi"/>
          <w:sz w:val="22"/>
        </w:rPr>
        <w:t>e</w:t>
      </w:r>
      <w:r w:rsidRPr="005360C3">
        <w:rPr>
          <w:rFonts w:asciiTheme="minorHAnsi" w:hAnsiTheme="minorHAnsi" w:cstheme="minorHAnsi"/>
          <w:spacing w:val="1"/>
          <w:sz w:val="22"/>
        </w:rPr>
        <w:t>vi</w:t>
      </w:r>
      <w:r w:rsidRPr="005360C3">
        <w:rPr>
          <w:rFonts w:asciiTheme="minorHAnsi" w:hAnsiTheme="minorHAnsi" w:cstheme="minorHAnsi"/>
          <w:spacing w:val="-1"/>
          <w:sz w:val="22"/>
        </w:rPr>
        <w:t>n</w:t>
      </w:r>
      <w:r w:rsidRPr="005360C3">
        <w:rPr>
          <w:rFonts w:asciiTheme="minorHAnsi" w:hAnsiTheme="minorHAnsi" w:cstheme="minorHAnsi"/>
          <w:sz w:val="22"/>
        </w:rPr>
        <w:t>ska</w:t>
      </w:r>
      <w:r w:rsidRPr="005360C3">
        <w:rPr>
          <w:rFonts w:asciiTheme="minorHAnsi" w:hAnsiTheme="minorHAnsi" w:cstheme="minorHAnsi"/>
          <w:spacing w:val="-2"/>
          <w:sz w:val="22"/>
        </w:rPr>
        <w:t xml:space="preserve"> </w:t>
      </w:r>
      <w:r w:rsidRPr="005360C3">
        <w:rPr>
          <w:rFonts w:asciiTheme="minorHAnsi" w:hAnsiTheme="minorHAnsi" w:cstheme="minorHAnsi"/>
          <w:spacing w:val="-1"/>
          <w:sz w:val="22"/>
        </w:rPr>
        <w:t>p</w:t>
      </w:r>
      <w:r w:rsidRPr="005360C3">
        <w:rPr>
          <w:rFonts w:asciiTheme="minorHAnsi" w:hAnsiTheme="minorHAnsi" w:cstheme="minorHAnsi"/>
          <w:spacing w:val="-2"/>
          <w:sz w:val="22"/>
        </w:rPr>
        <w:t>o</w:t>
      </w:r>
      <w:r w:rsidRPr="005360C3">
        <w:rPr>
          <w:rFonts w:asciiTheme="minorHAnsi" w:hAnsiTheme="minorHAnsi" w:cstheme="minorHAnsi"/>
          <w:spacing w:val="-1"/>
          <w:sz w:val="22"/>
        </w:rPr>
        <w:t>d</w:t>
      </w:r>
      <w:r w:rsidRPr="005360C3">
        <w:rPr>
          <w:rFonts w:asciiTheme="minorHAnsi" w:hAnsiTheme="minorHAnsi" w:cstheme="minorHAnsi"/>
          <w:sz w:val="22"/>
        </w:rPr>
        <w:t>r</w:t>
      </w:r>
      <w:r w:rsidRPr="005360C3">
        <w:rPr>
          <w:rFonts w:asciiTheme="minorHAnsi" w:hAnsiTheme="minorHAnsi" w:cstheme="minorHAnsi"/>
          <w:spacing w:val="-1"/>
          <w:sz w:val="22"/>
        </w:rPr>
        <w:t>u</w:t>
      </w:r>
      <w:r w:rsidRPr="005360C3">
        <w:rPr>
          <w:rFonts w:asciiTheme="minorHAnsi" w:hAnsiTheme="minorHAnsi" w:cstheme="minorHAnsi"/>
          <w:spacing w:val="-3"/>
          <w:sz w:val="22"/>
        </w:rPr>
        <w:t>č</w:t>
      </w:r>
      <w:r w:rsidRPr="005360C3">
        <w:rPr>
          <w:rFonts w:asciiTheme="minorHAnsi" w:hAnsiTheme="minorHAnsi" w:cstheme="minorHAnsi"/>
          <w:sz w:val="22"/>
        </w:rPr>
        <w:t xml:space="preserve">ja </w:t>
      </w:r>
      <w:r w:rsidRPr="005360C3">
        <w:rPr>
          <w:rFonts w:asciiTheme="minorHAnsi" w:hAnsiTheme="minorHAnsi" w:cstheme="minorHAnsi"/>
          <w:sz w:val="22"/>
        </w:rPr>
        <w:tab/>
      </w:r>
      <w:r w:rsidRPr="005360C3">
        <w:rPr>
          <w:rFonts w:asciiTheme="minorHAnsi" w:hAnsiTheme="minorHAnsi" w:cstheme="minorHAnsi"/>
          <w:sz w:val="22"/>
        </w:rPr>
        <w:tab/>
        <w:t>1:5000</w:t>
      </w:r>
    </w:p>
    <w:p w14:paraId="4004954B" w14:textId="77777777" w:rsidR="009E0153" w:rsidRPr="005360C3" w:rsidRDefault="009E0153" w:rsidP="00622D9E">
      <w:pPr>
        <w:tabs>
          <w:tab w:val="right" w:leader="dot" w:pos="9072"/>
        </w:tabs>
        <w:spacing w:after="0" w:line="240" w:lineRule="auto"/>
        <w:ind w:left="1066" w:hanging="357"/>
        <w:rPr>
          <w:rFonts w:asciiTheme="minorHAnsi" w:hAnsiTheme="minorHAnsi" w:cstheme="minorHAnsi"/>
          <w:b/>
          <w:sz w:val="22"/>
        </w:rPr>
      </w:pPr>
    </w:p>
    <w:p w14:paraId="0AE02B93" w14:textId="77777777" w:rsidR="009E0153" w:rsidRPr="005360C3" w:rsidRDefault="009E0153" w:rsidP="007F349E">
      <w:pPr>
        <w:spacing w:line="240" w:lineRule="auto"/>
        <w:rPr>
          <w:rFonts w:asciiTheme="minorHAnsi" w:hAnsiTheme="minorHAnsi" w:cstheme="minorHAnsi"/>
          <w:b/>
          <w:sz w:val="22"/>
        </w:rPr>
      </w:pPr>
      <w:r w:rsidRPr="005360C3">
        <w:rPr>
          <w:rFonts w:asciiTheme="minorHAnsi" w:hAnsiTheme="minorHAnsi" w:cstheme="minorHAnsi"/>
          <w:b/>
          <w:sz w:val="22"/>
        </w:rPr>
        <w:tab/>
        <w:t>Obrazloženje Plana</w:t>
      </w:r>
    </w:p>
    <w:p w14:paraId="1D0DCFAF" w14:textId="77777777" w:rsidR="009E0153" w:rsidRPr="005360C3" w:rsidRDefault="009E0153" w:rsidP="00043D8F">
      <w:pPr>
        <w:spacing w:line="240" w:lineRule="auto"/>
        <w:rPr>
          <w:rFonts w:asciiTheme="minorHAnsi" w:hAnsiTheme="minorHAnsi" w:cstheme="minorHAnsi"/>
          <w:b/>
          <w:bCs/>
          <w:sz w:val="22"/>
        </w:rPr>
      </w:pPr>
    </w:p>
    <w:p w14:paraId="36D5B337" w14:textId="77777777" w:rsidR="000B1FB0" w:rsidRPr="005360C3" w:rsidRDefault="000B1FB0">
      <w:pPr>
        <w:spacing w:after="160" w:line="259" w:lineRule="auto"/>
        <w:jc w:val="left"/>
        <w:rPr>
          <w:rFonts w:asciiTheme="minorHAnsi" w:hAnsiTheme="minorHAnsi" w:cstheme="minorHAnsi"/>
          <w:b/>
          <w:bCs/>
          <w:sz w:val="22"/>
        </w:rPr>
      </w:pPr>
      <w:r w:rsidRPr="005360C3">
        <w:rPr>
          <w:rFonts w:asciiTheme="minorHAnsi" w:hAnsiTheme="minorHAnsi" w:cstheme="minorHAnsi"/>
          <w:b/>
          <w:bCs/>
          <w:sz w:val="22"/>
        </w:rPr>
        <w:br w:type="page"/>
      </w:r>
    </w:p>
    <w:p w14:paraId="31C9E139" w14:textId="2B53544C" w:rsidR="009E0153" w:rsidRPr="005360C3" w:rsidRDefault="009E0153" w:rsidP="00043D8F">
      <w:pPr>
        <w:spacing w:line="240" w:lineRule="auto"/>
        <w:rPr>
          <w:rFonts w:asciiTheme="minorHAnsi" w:hAnsiTheme="minorHAnsi" w:cstheme="minorHAnsi"/>
          <w:b/>
          <w:bCs/>
          <w:sz w:val="22"/>
        </w:rPr>
      </w:pPr>
      <w:r w:rsidRPr="005360C3">
        <w:rPr>
          <w:rFonts w:asciiTheme="minorHAnsi" w:hAnsiTheme="minorHAnsi" w:cstheme="minorHAnsi"/>
          <w:b/>
          <w:bCs/>
          <w:sz w:val="22"/>
        </w:rPr>
        <w:lastRenderedPageBreak/>
        <w:t>II. ODREDBE ZA PROVEDBU PLANA</w:t>
      </w:r>
    </w:p>
    <w:p w14:paraId="76EE0ED0" w14:textId="77777777" w:rsidR="009E0153" w:rsidRPr="005360C3" w:rsidRDefault="009E0153" w:rsidP="00043D8F">
      <w:pPr>
        <w:spacing w:line="240" w:lineRule="auto"/>
        <w:rPr>
          <w:rFonts w:asciiTheme="minorHAnsi" w:hAnsiTheme="minorHAnsi" w:cstheme="minorHAnsi"/>
          <w:b/>
          <w:bCs/>
          <w:sz w:val="22"/>
        </w:rPr>
      </w:pPr>
    </w:p>
    <w:p w14:paraId="64D631E0" w14:textId="77777777" w:rsidR="00444BA6" w:rsidRPr="005360C3" w:rsidRDefault="00444BA6" w:rsidP="00DC4B11">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267B3402" w14:textId="6CA017EE" w:rsidR="00444BA6" w:rsidRPr="005360C3" w:rsidRDefault="00A26C73" w:rsidP="001E2DA3">
      <w:pPr>
        <w:spacing w:line="240" w:lineRule="auto"/>
        <w:rPr>
          <w:rFonts w:asciiTheme="minorHAnsi" w:hAnsiTheme="minorHAnsi" w:cstheme="minorHAnsi"/>
          <w:sz w:val="22"/>
        </w:rPr>
      </w:pPr>
      <w:r w:rsidRPr="005360C3">
        <w:rPr>
          <w:rFonts w:asciiTheme="minorHAnsi" w:hAnsiTheme="minorHAnsi" w:cstheme="minorHAnsi"/>
          <w:sz w:val="22"/>
        </w:rPr>
        <w:t>U člank</w:t>
      </w:r>
      <w:r w:rsidR="00C92C81" w:rsidRPr="005360C3">
        <w:rPr>
          <w:rFonts w:asciiTheme="minorHAnsi" w:hAnsiTheme="minorHAnsi" w:cstheme="minorHAnsi"/>
          <w:sz w:val="22"/>
        </w:rPr>
        <w:t>u</w:t>
      </w:r>
      <w:r w:rsidRPr="005360C3">
        <w:rPr>
          <w:rFonts w:asciiTheme="minorHAnsi" w:hAnsiTheme="minorHAnsi" w:cstheme="minorHAnsi"/>
          <w:sz w:val="22"/>
        </w:rPr>
        <w:t xml:space="preserve"> </w:t>
      </w:r>
      <w:r w:rsidR="00E747DA">
        <w:rPr>
          <w:rFonts w:asciiTheme="minorHAnsi" w:hAnsiTheme="minorHAnsi" w:cstheme="minorHAnsi"/>
          <w:sz w:val="22"/>
        </w:rPr>
        <w:t>5</w:t>
      </w:r>
      <w:r w:rsidRPr="005360C3">
        <w:rPr>
          <w:rFonts w:asciiTheme="minorHAnsi" w:hAnsiTheme="minorHAnsi" w:cstheme="minorHAnsi"/>
          <w:sz w:val="22"/>
        </w:rPr>
        <w:t xml:space="preserve">. </w:t>
      </w:r>
      <w:r w:rsidR="000B1FB0" w:rsidRPr="005360C3">
        <w:rPr>
          <w:rFonts w:asciiTheme="minorHAnsi" w:hAnsiTheme="minorHAnsi" w:cstheme="minorHAnsi"/>
          <w:sz w:val="22"/>
        </w:rPr>
        <w:t xml:space="preserve">stavku 1, nakon zadnje alineje </w:t>
      </w:r>
      <w:r w:rsidRPr="005360C3">
        <w:rPr>
          <w:rFonts w:asciiTheme="minorHAnsi" w:hAnsiTheme="minorHAnsi" w:cstheme="minorHAnsi"/>
          <w:sz w:val="22"/>
        </w:rPr>
        <w:t xml:space="preserve">dodaje se </w:t>
      </w:r>
      <w:r w:rsidR="00C92C81" w:rsidRPr="005360C3">
        <w:rPr>
          <w:rFonts w:asciiTheme="minorHAnsi" w:hAnsiTheme="minorHAnsi" w:cstheme="minorHAnsi"/>
          <w:sz w:val="22"/>
        </w:rPr>
        <w:t xml:space="preserve">novi </w:t>
      </w:r>
      <w:r w:rsidR="000B1FB0" w:rsidRPr="005360C3">
        <w:rPr>
          <w:rFonts w:asciiTheme="minorHAnsi" w:hAnsiTheme="minorHAnsi" w:cstheme="minorHAnsi"/>
          <w:sz w:val="22"/>
        </w:rPr>
        <w:t>naslovi i nove alineje</w:t>
      </w:r>
      <w:r w:rsidRPr="005360C3">
        <w:rPr>
          <w:rFonts w:asciiTheme="minorHAnsi" w:hAnsiTheme="minorHAnsi" w:cstheme="minorHAnsi"/>
          <w:sz w:val="22"/>
        </w:rPr>
        <w:t xml:space="preserve"> koj</w:t>
      </w:r>
      <w:r w:rsidR="000B1FB0" w:rsidRPr="005360C3">
        <w:rPr>
          <w:rFonts w:asciiTheme="minorHAnsi" w:hAnsiTheme="minorHAnsi" w:cstheme="minorHAnsi"/>
          <w:sz w:val="22"/>
        </w:rPr>
        <w:t xml:space="preserve">e </w:t>
      </w:r>
      <w:r w:rsidRPr="005360C3">
        <w:rPr>
          <w:rFonts w:asciiTheme="minorHAnsi" w:hAnsiTheme="minorHAnsi" w:cstheme="minorHAnsi"/>
          <w:sz w:val="22"/>
        </w:rPr>
        <w:t>glas</w:t>
      </w:r>
      <w:r w:rsidR="000B1FB0" w:rsidRPr="005360C3">
        <w:rPr>
          <w:rFonts w:asciiTheme="minorHAnsi" w:hAnsiTheme="minorHAnsi" w:cstheme="minorHAnsi"/>
          <w:sz w:val="22"/>
        </w:rPr>
        <w:t>e</w:t>
      </w:r>
      <w:r w:rsidRPr="005360C3">
        <w:rPr>
          <w:rFonts w:asciiTheme="minorHAnsi" w:hAnsiTheme="minorHAnsi" w:cstheme="minorHAnsi"/>
          <w:sz w:val="22"/>
        </w:rPr>
        <w:t>:</w:t>
      </w:r>
    </w:p>
    <w:p w14:paraId="04D22F8B" w14:textId="7A026927" w:rsidR="000B1FB0" w:rsidRPr="005360C3" w:rsidRDefault="000B1FB0" w:rsidP="000B1FB0">
      <w:pPr>
        <w:ind w:left="769" w:right="771"/>
        <w:jc w:val="center"/>
        <w:rPr>
          <w:rFonts w:asciiTheme="minorHAnsi" w:hAnsiTheme="minorHAnsi" w:cstheme="minorHAnsi"/>
          <w:i/>
          <w:iCs/>
          <w:sz w:val="22"/>
        </w:rPr>
      </w:pPr>
      <w:r w:rsidRPr="005360C3">
        <w:rPr>
          <w:rFonts w:asciiTheme="minorHAnsi" w:hAnsiTheme="minorHAnsi" w:cstheme="minorHAnsi"/>
          <w:i/>
          <w:iCs/>
          <w:sz w:val="22"/>
        </w:rPr>
        <w:t>„ZA UBLAŽAVANJE I PRILAGODBU NA KLIMATSKE PROMJENE</w:t>
      </w:r>
    </w:p>
    <w:p w14:paraId="0E769D99" w14:textId="77777777" w:rsidR="000B1FB0" w:rsidRPr="005360C3" w:rsidRDefault="000B1FB0">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b/>
          <w:bCs/>
          <w:i/>
          <w:iCs/>
          <w:sz w:val="22"/>
        </w:rPr>
        <w:t xml:space="preserve">Javni projekt zelene infrastrukture </w:t>
      </w:r>
      <w:r w:rsidRPr="005360C3">
        <w:rPr>
          <w:rFonts w:asciiTheme="minorHAnsi" w:hAnsiTheme="minorHAnsi" w:cstheme="minorHAnsi"/>
          <w:i/>
          <w:iCs/>
          <w:sz w:val="22"/>
        </w:rPr>
        <w:t>je planski osmišljen zahvat ili skup zahvata kojima se uspostavlja ili unapređuje zelena infrastruktura i rješenja temeljena na prirodi, a koji se provodi u javnom interesu od strane Grada Velike Gorice, javnih ustanova, trgovačkih društava u javnom vlasništvu te udruga, zaklada i fundacija, sukladno odredbama ovoga Plana i posebnim propisima.</w:t>
      </w:r>
    </w:p>
    <w:p w14:paraId="7788AF99" w14:textId="77777777" w:rsidR="000B1FB0" w:rsidRPr="005360C3" w:rsidRDefault="000B1FB0">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b/>
          <w:bCs/>
          <w:i/>
          <w:iCs/>
          <w:sz w:val="22"/>
        </w:rPr>
        <w:t xml:space="preserve">Prekrivenost krošnjama stabala </w:t>
      </w:r>
      <w:r w:rsidRPr="005360C3">
        <w:rPr>
          <w:rFonts w:asciiTheme="minorHAnsi" w:hAnsiTheme="minorHAnsi" w:cstheme="minorHAnsi"/>
          <w:i/>
          <w:iCs/>
          <w:sz w:val="22"/>
        </w:rPr>
        <w:t>građevne čestice utvrđuje se kao zbroj tlocrtnih projekcija krošnji stabala u fazi njihove vegetacijske zrelosti, bez obzira na njihov položaj unutar građevne čestice, pri čemu se preklapajuće površine krošnji više stabala obračunavaju samo jednom. Za potrebe obračuna prekrivenosti krošnjama stabala minimalna obračunska površina krošnje jednog stabla iznosi 40 m².</w:t>
      </w:r>
    </w:p>
    <w:p w14:paraId="51C5898D" w14:textId="77777777" w:rsidR="000B1FB0" w:rsidRPr="005360C3" w:rsidRDefault="000B1FB0">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b/>
          <w:bCs/>
          <w:i/>
          <w:iCs/>
          <w:sz w:val="22"/>
        </w:rPr>
        <w:t>Prirodni teren</w:t>
      </w:r>
      <w:r w:rsidRPr="005360C3">
        <w:rPr>
          <w:rFonts w:asciiTheme="minorHAnsi" w:hAnsiTheme="minorHAnsi" w:cstheme="minorHAnsi"/>
          <w:i/>
          <w:iCs/>
          <w:sz w:val="22"/>
        </w:rPr>
        <w:t xml:space="preserve"> je neizgrađena površina zemljišta (ili građevne čestice), uređena kao zelena površina s visokim (minimalno 2 stabla po građevnoj čestici) i niskim zelenilom bez promjene kote terena u odnosu na zatečeni teren. Površina prirodnog terena mora biti uređena kao zelena površina bez podzemne ili nadzemne gradnje i natkrivanja, parkiranja, bazena, sportsko-rekreacijskih igrališta, vatrogasnih prilaza i operativne vatrogasne površine te ostalih ploha nastalih uređenjem i graditeljskim zahvatima, koji su nastali djelovanjem čovjeka. Ta uređena zelena površina odnosi se isključivo na prirodni procjedni teren i uređeno zelenilo, bez popločenja, terasa, parkirališta, šupljih betonskih travnatih opločnika, plastičnih ili drugih rešetki na travnatoj površini i sl. </w:t>
      </w:r>
    </w:p>
    <w:p w14:paraId="223AC190" w14:textId="77777777" w:rsidR="000B1FB0" w:rsidRPr="005360C3" w:rsidRDefault="000B1FB0">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b/>
          <w:bCs/>
          <w:i/>
          <w:iCs/>
          <w:sz w:val="22"/>
        </w:rPr>
        <w:t>Ozelenjene površine</w:t>
      </w:r>
      <w:r w:rsidRPr="005360C3">
        <w:rPr>
          <w:rFonts w:asciiTheme="minorHAnsi" w:hAnsiTheme="minorHAnsi" w:cstheme="minorHAnsi"/>
          <w:i/>
          <w:iCs/>
          <w:sz w:val="22"/>
        </w:rPr>
        <w:t xml:space="preserve"> su sve travnate površine koje su nastale graditeljskim zahvatima djelovanjem čovjeka na kojima je zasađeno visoko i nisko zelenilo kao što su ozelenjene podzemne garaže, krovovi i sl. (koje imaju sloj zemljanog nasipa minimalno 80 cm koji omogućuje rast visokog zelenila). Zeleni krov podzemne garaže mora biti izveden tako da se njegova završna uređena površina nalazi na istoj koti kao prirodni teren.</w:t>
      </w:r>
    </w:p>
    <w:p w14:paraId="432074E6" w14:textId="77777777" w:rsidR="000B1FB0" w:rsidRPr="005360C3" w:rsidRDefault="000B1FB0">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b/>
          <w:bCs/>
          <w:i/>
          <w:iCs/>
          <w:sz w:val="22"/>
        </w:rPr>
        <w:t>Propusna površina</w:t>
      </w:r>
      <w:r w:rsidRPr="005360C3">
        <w:rPr>
          <w:rFonts w:asciiTheme="minorHAnsi" w:hAnsiTheme="minorHAnsi" w:cstheme="minorHAnsi"/>
          <w:i/>
          <w:iCs/>
          <w:sz w:val="22"/>
        </w:rPr>
        <w:t xml:space="preserve"> je površina izvedena na način da omogućuje infiltraciju oborinske vode kroz površinski sloj i njezino procjeđivanje u tlo ili odgovarajući podsloj, čime se smanjuje površinsko otjecanje. Obuhvaća osobito propusne asfalte i  betone i ostale propusne materijale, razmaknute opločnjake s infiltracijskim fugama te travnate ploče i rešetke koje omogućuju procjeđivanje vode.</w:t>
      </w:r>
    </w:p>
    <w:p w14:paraId="4F316F40" w14:textId="77777777" w:rsidR="000B1FB0" w:rsidRPr="005360C3" w:rsidRDefault="000B1FB0">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b/>
          <w:bCs/>
          <w:i/>
          <w:iCs/>
          <w:sz w:val="22"/>
        </w:rPr>
        <w:t>Rješenja temeljena na prirodi</w:t>
      </w:r>
      <w:r w:rsidRPr="005360C3">
        <w:rPr>
          <w:rFonts w:asciiTheme="minorHAnsi" w:hAnsiTheme="minorHAnsi" w:cstheme="minorHAnsi"/>
          <w:i/>
          <w:iCs/>
          <w:sz w:val="22"/>
        </w:rPr>
        <w:t xml:space="preserve"> su mjere i aktivnosti koje služe za zaštitu, održivo upravljanje i obnavljanje prirodnih ili modificiranih ekosustava koji se učinkovito i na prilagodljiv način bave društvenim izazovima, istodobno donoseći dobrobit za ljude i biološku raznolikost.</w:t>
      </w:r>
    </w:p>
    <w:p w14:paraId="3685BFF8" w14:textId="66EB0070" w:rsidR="000B1FB0" w:rsidRPr="005360C3" w:rsidRDefault="000B1FB0">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b/>
          <w:bCs/>
          <w:i/>
          <w:iCs/>
          <w:sz w:val="22"/>
        </w:rPr>
        <w:t>Kružno gospodarenje prostorom i zgradama</w:t>
      </w:r>
      <w:r w:rsidRPr="005360C3">
        <w:rPr>
          <w:rFonts w:asciiTheme="minorHAnsi" w:hAnsiTheme="minorHAnsi" w:cstheme="minorHAnsi"/>
          <w:i/>
          <w:iCs/>
          <w:sz w:val="22"/>
        </w:rPr>
        <w:t xml:space="preserve"> je gradnja po načelima kružne ekonomije, poticanje ponovnog korištenja zgrada i prostora, produljenje trajnosti postojećih zgrada i poboljšanje njihove učinkovitosti, poticanje mjera smanjenja količine građevnog otpada, povećanja energetske učinkovitosti i korištenja obnovljivih izvora energije (OIE) te ponovnog korištenja postojećih građevnih proizvoda i materijala.</w:t>
      </w:r>
    </w:p>
    <w:p w14:paraId="44225F24" w14:textId="77777777" w:rsidR="000B1FB0" w:rsidRPr="005360C3" w:rsidRDefault="000B1FB0">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b/>
          <w:bCs/>
          <w:i/>
          <w:iCs/>
          <w:sz w:val="22"/>
        </w:rPr>
        <w:t>Toplinski otok</w:t>
      </w:r>
      <w:r w:rsidRPr="005360C3">
        <w:rPr>
          <w:rFonts w:asciiTheme="minorHAnsi" w:hAnsiTheme="minorHAnsi" w:cstheme="minorHAnsi"/>
          <w:i/>
          <w:iCs/>
          <w:sz w:val="22"/>
        </w:rPr>
        <w:t xml:space="preserve"> je dio urbanog tkiva sa znatno višom prosječnom temperaturom zraka u odnosu na okolno područje, u pravilu za 1–12 °C, a nastaje kao posljedica gustoće izgrađenosti, povećanog udjela nepropusnih površina i drugih antropogenih utjecaja.</w:t>
      </w:r>
    </w:p>
    <w:p w14:paraId="75A8BDF1" w14:textId="77777777" w:rsidR="000B1FB0" w:rsidRPr="005360C3" w:rsidRDefault="000B1FB0">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b/>
          <w:bCs/>
          <w:i/>
          <w:iCs/>
          <w:sz w:val="22"/>
        </w:rPr>
        <w:t>Urbana oprema</w:t>
      </w:r>
      <w:r w:rsidRPr="005360C3">
        <w:rPr>
          <w:rFonts w:asciiTheme="minorHAnsi" w:hAnsiTheme="minorHAnsi" w:cstheme="minorHAnsi"/>
          <w:i/>
          <w:iCs/>
          <w:sz w:val="22"/>
        </w:rPr>
        <w:t xml:space="preserve"> je sva oprema koja se montira odnosno postavlja na površinama svih namjena, kojom se oplemenjuje urbani prostor (koševi za smeće, stajališta javnog prijevoza, držači bicikala, oglasni i reklamni panoi, smjerokazi i ostali znakovi, klupe, vaze </w:t>
      </w:r>
      <w:r w:rsidRPr="005360C3">
        <w:rPr>
          <w:rFonts w:asciiTheme="minorHAnsi" w:hAnsiTheme="minorHAnsi" w:cstheme="minorHAnsi"/>
          <w:i/>
          <w:iCs/>
          <w:sz w:val="22"/>
        </w:rPr>
        <w:lastRenderedPageBreak/>
        <w:t>za cvijeće, zaštitni stupići i slično).</w:t>
      </w:r>
    </w:p>
    <w:p w14:paraId="658BCCE5" w14:textId="77777777" w:rsidR="000B1FB0" w:rsidRPr="005360C3" w:rsidRDefault="000B1FB0">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b/>
          <w:bCs/>
          <w:i/>
          <w:iCs/>
          <w:sz w:val="22"/>
        </w:rPr>
        <w:t>Zelena infrastruktura</w:t>
      </w:r>
      <w:r w:rsidRPr="005360C3">
        <w:rPr>
          <w:rFonts w:asciiTheme="minorHAnsi" w:hAnsiTheme="minorHAnsi" w:cstheme="minorHAnsi"/>
          <w:i/>
          <w:iCs/>
          <w:sz w:val="22"/>
        </w:rPr>
        <w:t xml:space="preserve"> su planski osmišljene zelene i vodne površine te druga prostorna rješenja temeljena na prirodi koja se primjenjuju unutar naselja i drugih područja, a kojima se pridonosi očuvanju, poboljšanju i obnavljanju prirode, prirodnih funkcija i procesa radi postizanja ekoloških, gospodarskih i društvenih koristi održivog razvoja.</w:t>
      </w:r>
    </w:p>
    <w:p w14:paraId="3F406141" w14:textId="77777777" w:rsidR="000B1FB0" w:rsidRPr="005360C3" w:rsidRDefault="000B1FB0">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b/>
          <w:bCs/>
          <w:i/>
          <w:iCs/>
          <w:sz w:val="22"/>
        </w:rPr>
        <w:t>Zeleni krov</w:t>
      </w:r>
      <w:r w:rsidRPr="005360C3">
        <w:rPr>
          <w:rFonts w:asciiTheme="minorHAnsi" w:hAnsiTheme="minorHAnsi" w:cstheme="minorHAnsi"/>
          <w:i/>
          <w:iCs/>
          <w:sz w:val="22"/>
        </w:rPr>
        <w:t xml:space="preserve"> je tehnički sustav kojim se na građevinskoj strukturi odvojenoj od tla, najčešće na krovu zgrade, formiraju veće kontinuirane površine zasađene biljem.</w:t>
      </w:r>
    </w:p>
    <w:p w14:paraId="23DFE251" w14:textId="77777777" w:rsidR="000B1FB0" w:rsidRPr="005360C3" w:rsidRDefault="000B1FB0">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b/>
          <w:bCs/>
          <w:i/>
          <w:iCs/>
          <w:sz w:val="22"/>
        </w:rPr>
        <w:t>Zelena površina građevne čestice</w:t>
      </w:r>
      <w:r w:rsidRPr="005360C3">
        <w:rPr>
          <w:rFonts w:asciiTheme="minorHAnsi" w:hAnsiTheme="minorHAnsi" w:cstheme="minorHAnsi"/>
          <w:i/>
          <w:iCs/>
          <w:sz w:val="22"/>
        </w:rPr>
        <w:t xml:space="preserve"> je površina uređena vegetacijom (prirodni teren i ozelenjene površine).</w:t>
      </w:r>
    </w:p>
    <w:p w14:paraId="5EF9FFE3" w14:textId="56251031" w:rsidR="000B1FB0" w:rsidRPr="005360C3" w:rsidRDefault="000B1FB0">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b/>
          <w:bCs/>
          <w:i/>
          <w:iCs/>
          <w:sz w:val="22"/>
        </w:rPr>
        <w:t>Zeleni zid</w:t>
      </w:r>
      <w:r w:rsidRPr="005360C3">
        <w:rPr>
          <w:rFonts w:asciiTheme="minorHAnsi" w:hAnsiTheme="minorHAnsi" w:cstheme="minorHAnsi"/>
          <w:i/>
          <w:iCs/>
          <w:sz w:val="22"/>
        </w:rPr>
        <w:t xml:space="preserve"> je samostojeća ili na građevinu postavljena okomita konstrukcija prekrivena vegetacijom, odnosno sustav vertikalnog ozelenjavanja kojim se biljke uzgajaju u supstratu, posudama ili se penju uz potporni sustav, pri čemu može biti izveden kao samostalna struktura u prostoru ili kao ozelenjena fasada građevine.“</w:t>
      </w:r>
    </w:p>
    <w:p w14:paraId="06E309F9" w14:textId="0DDFDE3E" w:rsidR="00A26C73" w:rsidRPr="005360C3" w:rsidRDefault="00A26C73" w:rsidP="001E2DA3">
      <w:pPr>
        <w:spacing w:line="240" w:lineRule="auto"/>
        <w:rPr>
          <w:rFonts w:asciiTheme="minorHAnsi" w:hAnsiTheme="minorHAnsi" w:cstheme="minorHAnsi"/>
          <w:sz w:val="22"/>
        </w:rPr>
      </w:pPr>
    </w:p>
    <w:p w14:paraId="07B5C521" w14:textId="77777777" w:rsidR="00A26C73" w:rsidRPr="005360C3" w:rsidRDefault="00A26C73" w:rsidP="00DC4B11">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00B0C9D7" w14:textId="315BB106" w:rsidR="000B1FB0" w:rsidRPr="005360C3" w:rsidRDefault="00717F6B" w:rsidP="007F349E">
      <w:pPr>
        <w:spacing w:line="240" w:lineRule="auto"/>
        <w:rPr>
          <w:rFonts w:asciiTheme="minorHAnsi" w:hAnsiTheme="minorHAnsi" w:cstheme="minorHAnsi"/>
          <w:sz w:val="22"/>
        </w:rPr>
      </w:pPr>
      <w:r w:rsidRPr="005360C3">
        <w:rPr>
          <w:rFonts w:asciiTheme="minorHAnsi" w:hAnsiTheme="minorHAnsi" w:cstheme="minorHAnsi"/>
          <w:sz w:val="22"/>
        </w:rPr>
        <w:t xml:space="preserve">U članku </w:t>
      </w:r>
      <w:r w:rsidR="000B1FB0" w:rsidRPr="005360C3">
        <w:rPr>
          <w:rFonts w:asciiTheme="minorHAnsi" w:hAnsiTheme="minorHAnsi" w:cstheme="minorHAnsi"/>
          <w:sz w:val="22"/>
        </w:rPr>
        <w:t>17</w:t>
      </w:r>
      <w:r w:rsidRPr="005360C3">
        <w:rPr>
          <w:rFonts w:asciiTheme="minorHAnsi" w:hAnsiTheme="minorHAnsi" w:cstheme="minorHAnsi"/>
          <w:sz w:val="22"/>
        </w:rPr>
        <w:t>. stavk</w:t>
      </w:r>
      <w:r w:rsidR="000B1FB0" w:rsidRPr="005360C3">
        <w:rPr>
          <w:rFonts w:asciiTheme="minorHAnsi" w:hAnsiTheme="minorHAnsi" w:cstheme="minorHAnsi"/>
          <w:sz w:val="22"/>
        </w:rPr>
        <w:t>u</w:t>
      </w:r>
      <w:r w:rsidRPr="005360C3">
        <w:rPr>
          <w:rFonts w:asciiTheme="minorHAnsi" w:hAnsiTheme="minorHAnsi" w:cstheme="minorHAnsi"/>
          <w:sz w:val="22"/>
        </w:rPr>
        <w:t xml:space="preserve"> </w:t>
      </w:r>
      <w:r w:rsidR="000B1FB0" w:rsidRPr="005360C3">
        <w:rPr>
          <w:rFonts w:asciiTheme="minorHAnsi" w:hAnsiTheme="minorHAnsi" w:cstheme="minorHAnsi"/>
          <w:sz w:val="22"/>
        </w:rPr>
        <w:t>1</w:t>
      </w:r>
      <w:r w:rsidRPr="005360C3">
        <w:rPr>
          <w:rFonts w:asciiTheme="minorHAnsi" w:hAnsiTheme="minorHAnsi" w:cstheme="minorHAnsi"/>
          <w:sz w:val="22"/>
        </w:rPr>
        <w:t xml:space="preserve"> </w:t>
      </w:r>
      <w:r w:rsidR="000B1FB0" w:rsidRPr="005360C3">
        <w:rPr>
          <w:rFonts w:asciiTheme="minorHAnsi" w:hAnsiTheme="minorHAnsi" w:cstheme="minorHAnsi"/>
          <w:sz w:val="22"/>
        </w:rPr>
        <w:t>tekst „</w:t>
      </w:r>
      <w:r w:rsidR="000B1FB0" w:rsidRPr="005360C3">
        <w:rPr>
          <w:rFonts w:asciiTheme="minorHAnsi" w:hAnsiTheme="minorHAnsi" w:cstheme="minorHAnsi"/>
          <w:i/>
          <w:iCs/>
          <w:sz w:val="22"/>
        </w:rPr>
        <w:t>odlagalište komunalnog i inertnog otpada</w:t>
      </w:r>
      <w:r w:rsidR="000B1FB0" w:rsidRPr="005360C3">
        <w:rPr>
          <w:rFonts w:asciiTheme="minorHAnsi" w:hAnsiTheme="minorHAnsi" w:cstheme="minorHAnsi"/>
          <w:sz w:val="22"/>
        </w:rPr>
        <w:t>“ zamije</w:t>
      </w:r>
      <w:r w:rsidR="0099238C" w:rsidRPr="005360C3">
        <w:rPr>
          <w:rFonts w:asciiTheme="minorHAnsi" w:hAnsiTheme="minorHAnsi" w:cstheme="minorHAnsi"/>
          <w:sz w:val="22"/>
        </w:rPr>
        <w:t>n</w:t>
      </w:r>
      <w:r w:rsidR="000B1FB0" w:rsidRPr="005360C3">
        <w:rPr>
          <w:rFonts w:asciiTheme="minorHAnsi" w:hAnsiTheme="minorHAnsi" w:cstheme="minorHAnsi"/>
          <w:sz w:val="22"/>
        </w:rPr>
        <w:t>juje se tekstom „</w:t>
      </w:r>
      <w:r w:rsidR="000B1FB0" w:rsidRPr="005360C3">
        <w:rPr>
          <w:rFonts w:asciiTheme="minorHAnsi" w:hAnsiTheme="minorHAnsi" w:cstheme="minorHAnsi"/>
          <w:i/>
          <w:iCs/>
          <w:sz w:val="22"/>
        </w:rPr>
        <w:t>odlagalište neopasnog otpada “Mraclinska Dubrava”</w:t>
      </w:r>
      <w:r w:rsidR="000B1FB0" w:rsidRPr="005360C3">
        <w:rPr>
          <w:rFonts w:asciiTheme="minorHAnsi" w:hAnsiTheme="minorHAnsi" w:cstheme="minorHAnsi"/>
          <w:sz w:val="22"/>
        </w:rPr>
        <w:t>“.</w:t>
      </w:r>
    </w:p>
    <w:p w14:paraId="48AB9784" w14:textId="77777777" w:rsidR="00E850A9" w:rsidRPr="005360C3" w:rsidRDefault="00E850A9" w:rsidP="007F349E">
      <w:pPr>
        <w:spacing w:line="240" w:lineRule="auto"/>
        <w:rPr>
          <w:rFonts w:asciiTheme="minorHAnsi" w:hAnsiTheme="minorHAnsi" w:cstheme="minorHAnsi"/>
          <w:sz w:val="22"/>
        </w:rPr>
      </w:pPr>
    </w:p>
    <w:p w14:paraId="03036ECB" w14:textId="77777777" w:rsidR="000B1FB0" w:rsidRPr="005360C3" w:rsidRDefault="000B1FB0" w:rsidP="000B1FB0">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7534BB54" w14:textId="5E594D6F" w:rsidR="000B1FB0" w:rsidRPr="005360C3" w:rsidRDefault="000B1FB0" w:rsidP="000B1FB0">
      <w:pPr>
        <w:spacing w:line="240" w:lineRule="auto"/>
        <w:rPr>
          <w:rFonts w:asciiTheme="minorHAnsi" w:hAnsiTheme="minorHAnsi" w:cstheme="minorHAnsi"/>
          <w:sz w:val="22"/>
        </w:rPr>
      </w:pPr>
      <w:r w:rsidRPr="005360C3">
        <w:rPr>
          <w:rFonts w:asciiTheme="minorHAnsi" w:hAnsiTheme="minorHAnsi" w:cstheme="minorHAnsi"/>
          <w:sz w:val="22"/>
        </w:rPr>
        <w:t xml:space="preserve">U članku </w:t>
      </w:r>
      <w:r w:rsidR="00F00160" w:rsidRPr="005360C3">
        <w:rPr>
          <w:rFonts w:asciiTheme="minorHAnsi" w:hAnsiTheme="minorHAnsi" w:cstheme="minorHAnsi"/>
          <w:sz w:val="22"/>
        </w:rPr>
        <w:t>31</w:t>
      </w:r>
      <w:r w:rsidRPr="005360C3">
        <w:rPr>
          <w:rFonts w:asciiTheme="minorHAnsi" w:hAnsiTheme="minorHAnsi" w:cstheme="minorHAnsi"/>
          <w:sz w:val="22"/>
        </w:rPr>
        <w:t xml:space="preserve">. </w:t>
      </w:r>
      <w:r w:rsidR="00F00160" w:rsidRPr="005360C3">
        <w:rPr>
          <w:rFonts w:asciiTheme="minorHAnsi" w:hAnsiTheme="minorHAnsi" w:cstheme="minorHAnsi"/>
          <w:sz w:val="22"/>
        </w:rPr>
        <w:t xml:space="preserve">dodaju se novi </w:t>
      </w:r>
      <w:r w:rsidRPr="005360C3">
        <w:rPr>
          <w:rFonts w:asciiTheme="minorHAnsi" w:hAnsiTheme="minorHAnsi" w:cstheme="minorHAnsi"/>
          <w:sz w:val="22"/>
        </w:rPr>
        <w:t>stav</w:t>
      </w:r>
      <w:r w:rsidR="00F00160" w:rsidRPr="005360C3">
        <w:rPr>
          <w:rFonts w:asciiTheme="minorHAnsi" w:hAnsiTheme="minorHAnsi" w:cstheme="minorHAnsi"/>
          <w:sz w:val="22"/>
        </w:rPr>
        <w:t>ci</w:t>
      </w:r>
      <w:r w:rsidRPr="005360C3">
        <w:rPr>
          <w:rFonts w:asciiTheme="minorHAnsi" w:hAnsiTheme="minorHAnsi" w:cstheme="minorHAnsi"/>
          <w:sz w:val="22"/>
        </w:rPr>
        <w:t xml:space="preserve"> </w:t>
      </w:r>
      <w:r w:rsidR="00F00160" w:rsidRPr="005360C3">
        <w:rPr>
          <w:rFonts w:asciiTheme="minorHAnsi" w:hAnsiTheme="minorHAnsi" w:cstheme="minorHAnsi"/>
          <w:sz w:val="22"/>
        </w:rPr>
        <w:t>5 i 6 koji glase:</w:t>
      </w:r>
    </w:p>
    <w:p w14:paraId="626A9ECF" w14:textId="53244AD1" w:rsidR="00F00160" w:rsidRPr="005360C3" w:rsidRDefault="0042685A" w:rsidP="00F00160">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w:t>
      </w:r>
      <w:r w:rsidR="00F00160" w:rsidRPr="005360C3">
        <w:rPr>
          <w:rFonts w:asciiTheme="minorHAnsi" w:hAnsiTheme="minorHAnsi" w:cstheme="minorHAnsi"/>
          <w:i/>
          <w:iCs/>
          <w:sz w:val="22"/>
        </w:rPr>
        <w:t>(5)</w:t>
      </w:r>
      <w:r w:rsidR="00F00160" w:rsidRPr="005360C3">
        <w:rPr>
          <w:rFonts w:asciiTheme="minorHAnsi" w:hAnsiTheme="minorHAnsi" w:cstheme="minorHAnsi"/>
          <w:i/>
          <w:iCs/>
          <w:sz w:val="22"/>
        </w:rPr>
        <w:tab/>
        <w:t>Kod nove gradnje, zamjenske gradnje ili rekonstrukcije individualnih stambenih i višestambenih građevina, građevinska bruto površina (GBP) te visinski i tlocrtni gabariti građevine moraju biti usklađeni s okolnim građevinama te s karakterom, tipologijom i oblikovanjem izgradnje u naselju, pri čemu se ne smije narušiti prostorni odnos građevina u ulici niti karakter postojeće matrice naselja.</w:t>
      </w:r>
    </w:p>
    <w:p w14:paraId="2F5B6868" w14:textId="664185A8" w:rsidR="00F00160" w:rsidRPr="005360C3" w:rsidRDefault="00F00160" w:rsidP="00F00160">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(6)</w:t>
      </w:r>
      <w:r w:rsidRPr="005360C3">
        <w:rPr>
          <w:rFonts w:asciiTheme="minorHAnsi" w:hAnsiTheme="minorHAnsi" w:cstheme="minorHAnsi"/>
          <w:i/>
          <w:iCs/>
          <w:sz w:val="22"/>
        </w:rPr>
        <w:tab/>
        <w:t>U svrhu ublažavanja učinka urbanog toplinskog otoka završne obrade svih pročelja  građevina i ravnih krovova (ako nisu izvedeni kao zeleni krovovi), moraju biti izvedeni primjenom materijala i boja svjetlijih tonova ili s povećanim koeficijentom refleksije sunčeva zračenja sukladno posebnim propisima ili tehničkim normama.“</w:t>
      </w:r>
    </w:p>
    <w:p w14:paraId="4B3E7162" w14:textId="77777777" w:rsidR="00F00160" w:rsidRPr="005360C3" w:rsidRDefault="00F00160" w:rsidP="000B1FB0">
      <w:pPr>
        <w:spacing w:line="240" w:lineRule="auto"/>
        <w:rPr>
          <w:rFonts w:asciiTheme="minorHAnsi" w:hAnsiTheme="minorHAnsi" w:cstheme="minorHAnsi"/>
          <w:sz w:val="22"/>
        </w:rPr>
      </w:pPr>
    </w:p>
    <w:p w14:paraId="57406EC1" w14:textId="77777777" w:rsidR="0042685A" w:rsidRPr="005360C3" w:rsidRDefault="0042685A" w:rsidP="0042685A">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5DE5D0A2" w14:textId="45C1D0A4" w:rsidR="0042685A" w:rsidRPr="005360C3" w:rsidRDefault="0042685A" w:rsidP="0042685A">
      <w:pPr>
        <w:spacing w:line="240" w:lineRule="auto"/>
        <w:rPr>
          <w:rFonts w:asciiTheme="minorHAnsi" w:hAnsiTheme="minorHAnsi" w:cstheme="minorHAnsi"/>
          <w:sz w:val="22"/>
        </w:rPr>
      </w:pPr>
      <w:r w:rsidRPr="005360C3">
        <w:rPr>
          <w:rFonts w:asciiTheme="minorHAnsi" w:hAnsiTheme="minorHAnsi" w:cstheme="minorHAnsi"/>
          <w:sz w:val="22"/>
        </w:rPr>
        <w:t>Članak 38. mijenja se i glasi:</w:t>
      </w:r>
    </w:p>
    <w:p w14:paraId="1D6903C6" w14:textId="736A4890" w:rsidR="0042685A" w:rsidRPr="005360C3" w:rsidRDefault="0042685A" w:rsidP="0042685A">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„(1)</w:t>
      </w:r>
      <w:r w:rsidRPr="005360C3">
        <w:rPr>
          <w:rFonts w:asciiTheme="minorHAnsi" w:hAnsiTheme="minorHAnsi" w:cstheme="minorHAnsi"/>
          <w:i/>
          <w:iCs/>
          <w:sz w:val="22"/>
        </w:rPr>
        <w:tab/>
        <w:t>Najmanje 45% površine građevne čestice mora biti uređeno kao zelena površina, od čega najmanje 35% mora biti prirodni teren. Preostali dio do 45% može biti prirodni teren ili ozelenjena površina (ne odnosi se na zeleni krov na vrhu zgrade).</w:t>
      </w:r>
    </w:p>
    <w:p w14:paraId="60C29127" w14:textId="77777777" w:rsidR="0042685A" w:rsidRPr="005360C3" w:rsidRDefault="0042685A" w:rsidP="0042685A">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(2)</w:t>
      </w:r>
      <w:r w:rsidRPr="005360C3">
        <w:rPr>
          <w:rFonts w:asciiTheme="minorHAnsi" w:hAnsiTheme="minorHAnsi" w:cstheme="minorHAnsi"/>
          <w:i/>
          <w:iCs/>
          <w:sz w:val="22"/>
        </w:rPr>
        <w:tab/>
        <w:t>Prekrivenost građevne čestice krošnjama stabala mora iznositi najmanje 10% površine prirodnog terena.</w:t>
      </w:r>
    </w:p>
    <w:p w14:paraId="23477749" w14:textId="77777777" w:rsidR="0042685A" w:rsidRPr="005360C3" w:rsidRDefault="0042685A" w:rsidP="0042685A">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(3)</w:t>
      </w:r>
      <w:r w:rsidRPr="005360C3">
        <w:rPr>
          <w:rFonts w:asciiTheme="minorHAnsi" w:hAnsiTheme="minorHAnsi" w:cstheme="minorHAnsi"/>
          <w:i/>
          <w:iCs/>
          <w:sz w:val="22"/>
        </w:rPr>
        <w:tab/>
        <w:t>Pri planiranju i provedbi zahvata u prostoru obvezno je očuvati postojeća stabla unutar obuhvata zahvata, kada je to tehnički izvedivo i sukladno posebnim propisima.</w:t>
      </w:r>
    </w:p>
    <w:p w14:paraId="07B7F780" w14:textId="77777777" w:rsidR="0042685A" w:rsidRPr="005360C3" w:rsidRDefault="0042685A" w:rsidP="0042685A">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(4)</w:t>
      </w:r>
      <w:r w:rsidRPr="005360C3">
        <w:rPr>
          <w:rFonts w:asciiTheme="minorHAnsi" w:hAnsiTheme="minorHAnsi" w:cstheme="minorHAnsi"/>
          <w:i/>
          <w:iCs/>
          <w:sz w:val="22"/>
        </w:rPr>
        <w:tab/>
        <w:t>Uklanjanje postojećih stabala dopušteno je samo ako su stabla bolesna, opasna ili ako njihovo zadržavanje nije tehnički izvedivo, pri čemu je investitor dužan osigurati kompenzacijsku sadnju novih stabala koja se provodi sadnjom stabala minimalnog opsega debla 14 cm unutar iste građevne čestice ili neposrednog obuhvata zahvata. Prije uklanjanja postojećih stabala potrebno je dokazati opravdanost uklanjanja stabala stručnim mišljenjem ovlaštene osobe te ishoditi suglasnost nadležnog upravnog tijela Grada.</w:t>
      </w:r>
    </w:p>
    <w:p w14:paraId="379EA405" w14:textId="77777777" w:rsidR="0042685A" w:rsidRPr="005360C3" w:rsidRDefault="0042685A" w:rsidP="0042685A">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 xml:space="preserve">(5) </w:t>
      </w:r>
      <w:r w:rsidRPr="005360C3">
        <w:rPr>
          <w:rFonts w:asciiTheme="minorHAnsi" w:hAnsiTheme="minorHAnsi" w:cstheme="minorHAnsi"/>
          <w:i/>
          <w:iCs/>
          <w:sz w:val="22"/>
        </w:rPr>
        <w:tab/>
        <w:t>Iznimno od stavaka 1. i 2. ovoga članka, za pojedine namjene i vrste građevina primjenjuju se sljedeći uvjeti uređenja građevne čestice:</w:t>
      </w:r>
    </w:p>
    <w:p w14:paraId="5C072856"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lastRenderedPageBreak/>
        <w:t>- u poslovnim zonama najmanje 20% površine građevne čestice mora biti uređeno kao prirodni teren, uz prekrivenost građevne čestice krošnjama stabala od najmanje 10% površine prirodnog terena;</w:t>
      </w:r>
    </w:p>
    <w:p w14:paraId="19A340E3"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 xml:space="preserve">- za građevine javne i društvene namjene najmanje 25% površine građevne čestice mora biti uređeno kao prirodni teren, uz prekrivenost građevne čestice krošnjama stabala od najmanje 10% površine prirodnog terena; </w:t>
      </w:r>
    </w:p>
    <w:p w14:paraId="26FD0F8B" w14:textId="1D78E966"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za stambene građevine do 3 stana najmanje 25% površine građevne čestice mora biti uređeno kao prirodni teren, osim naselja Velika Gorica gdje to iznosi najmanje 35% površine građevne čestice.“</w:t>
      </w:r>
    </w:p>
    <w:p w14:paraId="500C6C94" w14:textId="77777777" w:rsidR="0042685A" w:rsidRPr="005360C3" w:rsidRDefault="0042685A" w:rsidP="000B1FB0">
      <w:pPr>
        <w:spacing w:line="240" w:lineRule="auto"/>
        <w:rPr>
          <w:rFonts w:asciiTheme="minorHAnsi" w:hAnsiTheme="minorHAnsi" w:cstheme="minorHAnsi"/>
          <w:sz w:val="22"/>
        </w:rPr>
      </w:pPr>
    </w:p>
    <w:p w14:paraId="3EBE89D5" w14:textId="77777777" w:rsidR="0042685A" w:rsidRPr="005360C3" w:rsidRDefault="0042685A" w:rsidP="0042685A">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13716E98" w14:textId="56AF2EC2" w:rsidR="0042685A" w:rsidRPr="005360C3" w:rsidRDefault="0042685A" w:rsidP="0042685A">
      <w:pPr>
        <w:spacing w:line="240" w:lineRule="auto"/>
        <w:rPr>
          <w:rFonts w:asciiTheme="minorHAnsi" w:hAnsiTheme="minorHAnsi" w:cstheme="minorHAnsi"/>
          <w:sz w:val="22"/>
        </w:rPr>
      </w:pPr>
      <w:r w:rsidRPr="005360C3">
        <w:rPr>
          <w:rFonts w:asciiTheme="minorHAnsi" w:hAnsiTheme="minorHAnsi" w:cstheme="minorHAnsi"/>
          <w:sz w:val="22"/>
        </w:rPr>
        <w:t>U članku 57. stavku 1, dodaje se nova alineja 4 koja glasi:</w:t>
      </w:r>
    </w:p>
    <w:p w14:paraId="2E5BAF5F" w14:textId="6361F231"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„i djelatnost akvakulture“</w:t>
      </w:r>
    </w:p>
    <w:p w14:paraId="6A2FFFD6" w14:textId="77777777" w:rsidR="0042685A" w:rsidRPr="005360C3" w:rsidRDefault="0042685A" w:rsidP="0042685A">
      <w:pPr>
        <w:spacing w:line="240" w:lineRule="auto"/>
        <w:rPr>
          <w:rFonts w:asciiTheme="minorHAnsi" w:hAnsiTheme="minorHAnsi" w:cstheme="minorHAnsi"/>
          <w:sz w:val="22"/>
        </w:rPr>
      </w:pPr>
    </w:p>
    <w:p w14:paraId="59471966" w14:textId="77777777" w:rsidR="0042685A" w:rsidRPr="005360C3" w:rsidRDefault="0042685A" w:rsidP="0042685A">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62D0A282" w14:textId="4D2AB972" w:rsidR="0042685A" w:rsidRPr="005360C3" w:rsidRDefault="0042685A" w:rsidP="0042685A">
      <w:pPr>
        <w:spacing w:line="240" w:lineRule="auto"/>
        <w:rPr>
          <w:rFonts w:asciiTheme="minorHAnsi" w:hAnsiTheme="minorHAnsi" w:cstheme="minorHAnsi"/>
          <w:i/>
          <w:iCs/>
          <w:sz w:val="22"/>
        </w:rPr>
      </w:pPr>
      <w:r w:rsidRPr="005360C3">
        <w:rPr>
          <w:rFonts w:asciiTheme="minorHAnsi" w:hAnsiTheme="minorHAnsi" w:cstheme="minorHAnsi"/>
          <w:sz w:val="22"/>
        </w:rPr>
        <w:t xml:space="preserve">U članku 74. stavku 1, alineja 3 se briše, a dosadašnje alineje 4-8 postaju alineje 3-7. U tablici u alineji 7 briše se tekst: </w:t>
      </w:r>
      <w:r w:rsidRPr="005360C3">
        <w:rPr>
          <w:rFonts w:asciiTheme="minorHAnsi" w:hAnsiTheme="minorHAnsi" w:cstheme="minorHAnsi"/>
          <w:i/>
          <w:iCs/>
          <w:sz w:val="22"/>
        </w:rPr>
        <w:t>„Osnovna i“.</w:t>
      </w:r>
    </w:p>
    <w:p w14:paraId="0CD31756" w14:textId="5638DAAF" w:rsidR="0042685A" w:rsidRPr="005360C3" w:rsidRDefault="0042685A" w:rsidP="0042685A">
      <w:pPr>
        <w:spacing w:line="240" w:lineRule="auto"/>
        <w:rPr>
          <w:rFonts w:asciiTheme="minorHAnsi" w:hAnsiTheme="minorHAnsi" w:cstheme="minorHAnsi"/>
          <w:sz w:val="22"/>
        </w:rPr>
      </w:pPr>
      <w:r w:rsidRPr="005360C3">
        <w:rPr>
          <w:rFonts w:asciiTheme="minorHAnsi" w:hAnsiTheme="minorHAnsi" w:cstheme="minorHAnsi"/>
          <w:sz w:val="22"/>
        </w:rPr>
        <w:t>Dodaju se novi stavci 5 - 7 koji glase:</w:t>
      </w:r>
    </w:p>
    <w:p w14:paraId="51617C3A" w14:textId="14B6BFB3" w:rsidR="0042685A" w:rsidRPr="005360C3" w:rsidRDefault="0042685A" w:rsidP="0042685A">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„(5)</w:t>
      </w:r>
      <w:r w:rsidRPr="005360C3">
        <w:rPr>
          <w:rFonts w:asciiTheme="minorHAnsi" w:hAnsiTheme="minorHAnsi" w:cstheme="minorHAnsi"/>
          <w:i/>
          <w:iCs/>
          <w:sz w:val="22"/>
        </w:rPr>
        <w:tab/>
        <w:t>Utvrđuju se uvjeti za gradnju i uređenje građevina javne i društvene namjene – osnovne škole, i to prema sljedećim uvjetima:</w:t>
      </w:r>
    </w:p>
    <w:p w14:paraId="23E7A61F"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 xml:space="preserve">najmanja površina građevne čestice škole utvrđuje se prema normativu određenom posebnim propisom iz područja odgoja i obrazovanja, uz uvjet da oblik i veličina građevne čestice moraju omogućiti funkcionalnu organizaciju čestice škole, </w:t>
      </w:r>
    </w:p>
    <w:p w14:paraId="08DCC011"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najveći kig iznosi 0,4,</w:t>
      </w:r>
    </w:p>
    <w:p w14:paraId="17C1069F"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najmanja udaljenost građevina od susjednih čestica mora biti veća ili jednaka njezinoj visini, ali ne manja od 3,0 m,</w:t>
      </w:r>
    </w:p>
    <w:p w14:paraId="6327CF50"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iznimno, otvoreni sportski tereni mogu se graditi na međi čestice</w:t>
      </w:r>
    </w:p>
    <w:p w14:paraId="094909D5"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 xml:space="preserve">najveća etažna visina građevina iznosi E=Po+S+P+2+Pk, </w:t>
      </w:r>
    </w:p>
    <w:p w14:paraId="520AD4B8"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građevna čestica mora imati osiguran neposredan kolni i pješački pristup s javno-prometne površine, uz uvjet najmanje širine kolnika od 3 m; iznimno, pristup do dvorane uz OŠ Rakarje/Pleso dozvoljava se sa pješačke površine</w:t>
      </w:r>
    </w:p>
    <w:p w14:paraId="048F745C"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najmanje 25% od ukupne površine građevne čestice mora biti uređeno kao parkovno zelenilo,</w:t>
      </w:r>
    </w:p>
    <w:p w14:paraId="0E6F94EA"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parkirališni normativ: minimalno 1 PM na 1 školsku učionicu, iznimno za OŠ i dvoranu Rakarje/Pleso dozvoljava se smještaj potrebnih PM na javnom parkirališnom prostoru</w:t>
      </w:r>
    </w:p>
    <w:p w14:paraId="69B07DEB"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najmanje 5 % parkirnih mjesta mora biti prilagođeno osobama s invaliditetom,</w:t>
      </w:r>
    </w:p>
    <w:p w14:paraId="32DB80F4"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otpadne vode se moraju otpuštati u sustave odvodnje otpadnih voda. Ako se gradnja planira na području gdje nema mogućnosti ispuštanja otpadnih voda u sustav javne odvodnje, odvodnju otpadnih voda treba planirati ispuštanjem putem uređaja za biološko pročišćavanje u prijemnik u nadležnosti Hrvatskih voda prihvatljiv sukladno Metodologiji primjene kombiniranog pristupa, dok se ne postignu uvjeti za priključenje na sustav javne odvodnje ili u sabirnu jamu,</w:t>
      </w:r>
    </w:p>
    <w:p w14:paraId="29EEEFA7"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posebne uvjete priključenja za oborinsku odvodnju utvrđuje jedinica lokalne samouprave u postupcima ishođenja lokacijske ili građevinske dozvole.</w:t>
      </w:r>
    </w:p>
    <w:p w14:paraId="4E6C996E" w14:textId="191780EF" w:rsidR="0042685A" w:rsidRPr="005360C3" w:rsidRDefault="0042685A" w:rsidP="0042685A">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(6)</w:t>
      </w:r>
      <w:r w:rsidRPr="005360C3">
        <w:rPr>
          <w:rFonts w:asciiTheme="minorHAnsi" w:hAnsiTheme="minorHAnsi" w:cstheme="minorHAnsi"/>
          <w:i/>
          <w:iCs/>
          <w:sz w:val="22"/>
        </w:rPr>
        <w:tab/>
        <w:t xml:space="preserve">Na </w:t>
      </w:r>
      <w:hyperlink r:id="rId9" w:tgtFrame="_blank" w:history="1">
        <w:r w:rsidRPr="005360C3">
          <w:rPr>
            <w:rFonts w:asciiTheme="minorHAnsi" w:hAnsiTheme="minorHAnsi" w:cstheme="minorHAnsi"/>
            <w:i/>
            <w:iCs/>
            <w:sz w:val="22"/>
          </w:rPr>
          <w:t>k.č.br</w:t>
        </w:r>
      </w:hyperlink>
      <w:r w:rsidRPr="005360C3">
        <w:rPr>
          <w:rFonts w:asciiTheme="minorHAnsi" w:hAnsiTheme="minorHAnsi" w:cstheme="minorHAnsi"/>
          <w:i/>
          <w:iCs/>
          <w:sz w:val="22"/>
        </w:rPr>
        <w:t>. 5077/3, k.o. Velika Gorica dozvoljava se gradnja i uređenje građevine javne i društvene namjene –bolnice, i to prema sljedećim uvjetima</w:t>
      </w:r>
    </w:p>
    <w:p w14:paraId="374700E8"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 xml:space="preserve">u okviru osnovne namjene dopuštena je izgradnja i uređenje: dnevne bolnice, specijalističko-polikliničkih ambulanti, dijagnostičkih i terapijskih prostora, prostora za </w:t>
      </w:r>
      <w:r w:rsidRPr="005360C3">
        <w:rPr>
          <w:rFonts w:asciiTheme="minorHAnsi" w:hAnsiTheme="minorHAnsi" w:cstheme="minorHAnsi"/>
          <w:i/>
          <w:iCs/>
          <w:sz w:val="22"/>
        </w:rPr>
        <w:lastRenderedPageBreak/>
        <w:t>male kirurške zahvate bez smještaja pacijenata, rehabilitacijskih i preventivnih zdravstvenih sadržaja,</w:t>
      </w:r>
    </w:p>
    <w:p w14:paraId="39FA85FE"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kao prateće namjene dopuštaju se: administrativni i upravni prostori, prostori za edukaciju i savjetovanje pacijenata, tehnički, servisni i logistički prostori, parkirališta i prometne površine te zelene i rekreacijske površine u funkciji zdravstvene ustanove,</w:t>
      </w:r>
    </w:p>
    <w:p w14:paraId="5AF34693"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 xml:space="preserve">najmanja površina građevne čestice bolnice iznosi 40.000 m2 </w:t>
      </w:r>
    </w:p>
    <w:p w14:paraId="41E7656C"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oblik i veličina građevne čestice moraju omogućiti funkcionalnu organizaciju kompleksa, uključujući pristup hitne medicinske pomoći,</w:t>
      </w:r>
    </w:p>
    <w:p w14:paraId="652AA8EA"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najveći kig iznosi 0,35,</w:t>
      </w:r>
    </w:p>
    <w:p w14:paraId="309EFA31"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najmanja udaljenost građevine od susjednih čestica mora biti veća ili jednaka njezinoj visini, ali ne manja od 5,0 m,</w:t>
      </w:r>
    </w:p>
    <w:p w14:paraId="5DF0F3D4"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 xml:space="preserve">najveća etažna visina građevina iznosi E=Po+S+P+2+Pk, </w:t>
      </w:r>
    </w:p>
    <w:p w14:paraId="7FC6F789"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dopušta se fazna izgradnja kompleksa, pod uvjetom da svaka faza čini funkcionalnu i infrastrukturno zaokruženu cjelinu,</w:t>
      </w:r>
    </w:p>
    <w:p w14:paraId="0F1335B6"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građevna čestica mora imati osiguran neposredan kolni i pješački pristup s javno-prometne površine, uz uvjet najmanje širine kolnika od 7,5 m,</w:t>
      </w:r>
    </w:p>
    <w:p w14:paraId="6F00532B"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najmanje 35% od ukupne površine građevne čestice mora biti uređeno kao parkovno zelenilo,</w:t>
      </w:r>
    </w:p>
    <w:p w14:paraId="7A838078"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parkirališni normativ iznosi najmanje 1 parkirno mjesto na 50 m² bruto razvijene površine zdravstvenih sadržaja, te dodatna parkirna mjesta za vozila hitne pomoći i dostavu,</w:t>
      </w:r>
    </w:p>
    <w:p w14:paraId="21E47282"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najmanje 5 % parkirnih mjesta mora biti prilagođeno osobama s invaliditetom,</w:t>
      </w:r>
    </w:p>
    <w:p w14:paraId="5409A2E4"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otpadne vode se moraju otpuštati u sustave odvodnje otpadnih voda. Ako se gradnja planira na području gdje nema mogućnosti ispuštanja otpadnih voda u sustav javne odvodnje, odvodnju otpadnih voda treba planirati ispuštanjem putem uređaja za biološko pročišćavanje u prijemnik u nadležnosti Hrvatskih voda prihvatljiv sukladno Metodologiji primjene kombiniranog pristupa, dok se ne postignu uvjeti za priključenje na sustav javne odvodnje ili u sabirnu jamu,</w:t>
      </w:r>
    </w:p>
    <w:p w14:paraId="10BAF17A" w14:textId="77777777" w:rsidR="0042685A" w:rsidRPr="005360C3" w:rsidRDefault="0042685A">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posebne uvjete priključenja za oborinsku odvodnju utvrđuje jedinica lokalne samouprave u postupcima ishođenja lokacijske ili građevinske dozvole.</w:t>
      </w:r>
    </w:p>
    <w:p w14:paraId="6ECE9754" w14:textId="3E939D01" w:rsidR="0042685A" w:rsidRPr="005360C3" w:rsidRDefault="0042685A" w:rsidP="0042685A">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(7)</w:t>
      </w:r>
      <w:r w:rsidRPr="005360C3">
        <w:rPr>
          <w:rFonts w:asciiTheme="minorHAnsi" w:hAnsiTheme="minorHAnsi" w:cstheme="minorHAnsi"/>
          <w:i/>
          <w:iCs/>
          <w:sz w:val="22"/>
        </w:rPr>
        <w:tab/>
        <w:t>Za zahvate stavaka 5 i 6 ovog članka koji se nalaze u cijelosti ili djelomično u arheološkoj zoni, prije početka radova potrebno je provesti arheološki pregled terena kako bi se tijekom izgradnje izbjeglo produženje radova zbog nepredviđenih arheoloških nalaza i mogućih istraživanja.“</w:t>
      </w:r>
    </w:p>
    <w:p w14:paraId="21AA1DC3" w14:textId="77777777" w:rsidR="0042685A" w:rsidRPr="005360C3" w:rsidRDefault="0042685A" w:rsidP="0042685A">
      <w:pPr>
        <w:spacing w:line="240" w:lineRule="auto"/>
        <w:rPr>
          <w:rFonts w:asciiTheme="minorHAnsi" w:hAnsiTheme="minorHAnsi" w:cstheme="minorHAnsi"/>
          <w:sz w:val="22"/>
        </w:rPr>
      </w:pPr>
    </w:p>
    <w:p w14:paraId="341714F2" w14:textId="77777777" w:rsidR="0042685A" w:rsidRPr="005360C3" w:rsidRDefault="0042685A" w:rsidP="0042685A">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20B3ABFD" w14:textId="6C6F4AFF" w:rsidR="0042685A" w:rsidRPr="005360C3" w:rsidRDefault="0042685A" w:rsidP="0042685A">
      <w:pPr>
        <w:spacing w:line="240" w:lineRule="auto"/>
        <w:rPr>
          <w:rFonts w:asciiTheme="minorHAnsi" w:hAnsiTheme="minorHAnsi" w:cstheme="minorHAnsi"/>
          <w:sz w:val="22"/>
        </w:rPr>
      </w:pPr>
      <w:r w:rsidRPr="005360C3">
        <w:rPr>
          <w:rFonts w:asciiTheme="minorHAnsi" w:hAnsiTheme="minorHAnsi" w:cstheme="minorHAnsi"/>
          <w:sz w:val="22"/>
        </w:rPr>
        <w:t>U članku 82. dodaju se novi stavci 4 i 5 koji glase:</w:t>
      </w:r>
    </w:p>
    <w:p w14:paraId="55CF8A21" w14:textId="4A1F0123" w:rsidR="00AC5FA3" w:rsidRPr="005360C3" w:rsidRDefault="00AC5FA3" w:rsidP="00AC5FA3">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„(4)</w:t>
      </w:r>
      <w:r w:rsidRPr="005360C3">
        <w:rPr>
          <w:rFonts w:asciiTheme="minorHAnsi" w:hAnsiTheme="minorHAnsi" w:cstheme="minorHAnsi"/>
          <w:i/>
          <w:iCs/>
          <w:sz w:val="22"/>
        </w:rPr>
        <w:tab/>
        <w:t>Najmanje 80% ukupne tlocrtne površine dječjih igrališta mora biti izvedeno kao propusna površina, primjenom prirodnih materijala (pijesak, sipina, sitni oprani šljunak, kora drveta i sl.) ili certificiranih propusnih antistres podloga.</w:t>
      </w:r>
    </w:p>
    <w:p w14:paraId="15F2F2C7" w14:textId="1D3F46A6" w:rsidR="00AC5FA3" w:rsidRPr="005360C3" w:rsidRDefault="00AC5FA3" w:rsidP="00AC5FA3">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 xml:space="preserve">(5) </w:t>
      </w:r>
      <w:r w:rsidRPr="005360C3">
        <w:rPr>
          <w:rFonts w:asciiTheme="minorHAnsi" w:hAnsiTheme="minorHAnsi" w:cstheme="minorHAnsi"/>
          <w:i/>
          <w:iCs/>
          <w:sz w:val="22"/>
        </w:rPr>
        <w:tab/>
        <w:t>Dječja igrališta moraju se uređivati i unaprjeđivati na način kojim se osigurava raznolikost tematskih tipova igrališta, djelomična standardizacija opreme, poboljšanje uvjeta za igru djece smanjene pokretljivosti te primjena prirodnih elemenata za igru. Unaprjeđenje postojećih igrališta obuhvaća podizanje ukupne kvalitete njihova uređenja, uključujući izvedbu zasjenjenja, sadnju biljnog materijala i primjenu drugih parkovnih elemenata, kao i povećanje njihove dostupnosti i sigurnosti, sukladno posebnim propisima.“</w:t>
      </w:r>
    </w:p>
    <w:p w14:paraId="339D4970" w14:textId="77777777" w:rsidR="0042685A" w:rsidRPr="005360C3" w:rsidRDefault="0042685A" w:rsidP="0042685A">
      <w:pPr>
        <w:spacing w:line="240" w:lineRule="auto"/>
        <w:rPr>
          <w:rFonts w:asciiTheme="minorHAnsi" w:hAnsiTheme="minorHAnsi" w:cstheme="minorHAnsi"/>
          <w:sz w:val="22"/>
        </w:rPr>
      </w:pPr>
    </w:p>
    <w:p w14:paraId="0725179B" w14:textId="77777777" w:rsidR="00AC5FA3" w:rsidRPr="005360C3" w:rsidRDefault="00AC5FA3" w:rsidP="00AC5FA3">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7B1FED86" w14:textId="54C2F5AA" w:rsidR="00AC5FA3" w:rsidRPr="005360C3" w:rsidRDefault="00AC5FA3" w:rsidP="00AC5FA3">
      <w:pPr>
        <w:spacing w:line="240" w:lineRule="auto"/>
        <w:rPr>
          <w:rFonts w:asciiTheme="minorHAnsi" w:hAnsiTheme="minorHAnsi" w:cstheme="minorHAnsi"/>
          <w:sz w:val="22"/>
        </w:rPr>
      </w:pPr>
      <w:r w:rsidRPr="005360C3">
        <w:rPr>
          <w:rFonts w:asciiTheme="minorHAnsi" w:hAnsiTheme="minorHAnsi" w:cstheme="minorHAnsi"/>
          <w:sz w:val="22"/>
        </w:rPr>
        <w:t>Ispred članka 112., naslov 2.5.1.3. mijenja se i glasi: 2.5.1.3. Ribogojstvo, ribolovstvo i djelatnost akvakulture.</w:t>
      </w:r>
    </w:p>
    <w:p w14:paraId="39D86230" w14:textId="12E81888" w:rsidR="00AC5FA3" w:rsidRPr="005360C3" w:rsidRDefault="00AC5FA3" w:rsidP="00AC5FA3">
      <w:pPr>
        <w:spacing w:line="240" w:lineRule="auto"/>
        <w:rPr>
          <w:rFonts w:asciiTheme="minorHAnsi" w:hAnsiTheme="minorHAnsi" w:cstheme="minorHAnsi"/>
          <w:sz w:val="22"/>
        </w:rPr>
      </w:pPr>
    </w:p>
    <w:p w14:paraId="76DA422D" w14:textId="77777777" w:rsidR="00AC5FA3" w:rsidRPr="005360C3" w:rsidRDefault="00AC5FA3" w:rsidP="00AC5FA3">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2E29B794" w14:textId="3FAE83C6" w:rsidR="00AC5FA3" w:rsidRPr="005360C3" w:rsidRDefault="00AC5FA3" w:rsidP="00AC5FA3">
      <w:pPr>
        <w:spacing w:line="240" w:lineRule="auto"/>
        <w:rPr>
          <w:rFonts w:asciiTheme="minorHAnsi" w:hAnsiTheme="minorHAnsi" w:cstheme="minorHAnsi"/>
          <w:sz w:val="22"/>
        </w:rPr>
      </w:pPr>
      <w:r w:rsidRPr="005360C3">
        <w:rPr>
          <w:rFonts w:asciiTheme="minorHAnsi" w:hAnsiTheme="minorHAnsi" w:cstheme="minorHAnsi"/>
          <w:sz w:val="22"/>
        </w:rPr>
        <w:t>(1)</w:t>
      </w:r>
      <w:r w:rsidRPr="005360C3">
        <w:rPr>
          <w:rFonts w:asciiTheme="minorHAnsi" w:hAnsiTheme="minorHAnsi" w:cstheme="minorHAnsi"/>
          <w:sz w:val="22"/>
        </w:rPr>
        <w:tab/>
        <w:t>U članku 112. dodaju se novi stavci 2 i 3 koji glase:</w:t>
      </w:r>
    </w:p>
    <w:p w14:paraId="07E5C41D" w14:textId="384C3C2B" w:rsidR="00AC5FA3" w:rsidRPr="005360C3" w:rsidRDefault="00AC5FA3" w:rsidP="00AC5FA3">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„(2)</w:t>
      </w:r>
      <w:r w:rsidRPr="005360C3">
        <w:rPr>
          <w:rFonts w:asciiTheme="minorHAnsi" w:hAnsiTheme="minorHAnsi" w:cstheme="minorHAnsi"/>
          <w:i/>
          <w:iCs/>
          <w:sz w:val="22"/>
        </w:rPr>
        <w:tab/>
        <w:t>Djelatnost akvakulture je uzgoj ili kultivacija vodenih organizama primjenom tehnika kojima se povećava proizvodnja tih organizama iznad prirodnog kapaciteta okoliša, pri čemu organizmi ostaju u vlasništvu fizičke ili pravne osobe tijekom faze uzgoja i proizvodnje, uključujući i fazu izlova.</w:t>
      </w:r>
    </w:p>
    <w:p w14:paraId="14A14C9A" w14:textId="153EC620" w:rsidR="00AC5FA3" w:rsidRPr="005360C3" w:rsidRDefault="00AC5FA3" w:rsidP="00AC5FA3">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(3)</w:t>
      </w:r>
      <w:r w:rsidRPr="005360C3">
        <w:rPr>
          <w:rFonts w:asciiTheme="minorHAnsi" w:hAnsiTheme="minorHAnsi" w:cstheme="minorHAnsi"/>
          <w:i/>
          <w:iCs/>
          <w:sz w:val="22"/>
        </w:rPr>
        <w:tab/>
        <w:t>Obavljanje djelatnosti akvakulture omogućuje se u gospodarskim građevinama – uzgajalištima, koja predstavljaju tehnološku cjelinu i mogu se sastojati od mrijestilišta, ribnjaka, uzgojnih instalacija te drugih građevina, sustava i uređaja koji se koriste za uzgoj vodenih organizama.“</w:t>
      </w:r>
    </w:p>
    <w:p w14:paraId="75550C6D" w14:textId="375474E7" w:rsidR="00AC5FA3" w:rsidRPr="005360C3" w:rsidRDefault="00AC5FA3" w:rsidP="0042685A">
      <w:pPr>
        <w:spacing w:line="240" w:lineRule="auto"/>
        <w:rPr>
          <w:rFonts w:asciiTheme="minorHAnsi" w:hAnsiTheme="minorHAnsi" w:cstheme="minorHAnsi"/>
          <w:sz w:val="22"/>
        </w:rPr>
      </w:pPr>
      <w:r w:rsidRPr="005360C3">
        <w:rPr>
          <w:rFonts w:asciiTheme="minorHAnsi" w:hAnsiTheme="minorHAnsi" w:cstheme="minorHAnsi"/>
          <w:sz w:val="22"/>
        </w:rPr>
        <w:t>(2)</w:t>
      </w:r>
      <w:r w:rsidRPr="005360C3">
        <w:rPr>
          <w:rFonts w:asciiTheme="minorHAnsi" w:hAnsiTheme="minorHAnsi" w:cstheme="minorHAnsi"/>
          <w:sz w:val="22"/>
        </w:rPr>
        <w:tab/>
        <w:t>Dosadašnji stavak 2 postaje stavak 4, mjenja se i glasi:</w:t>
      </w:r>
    </w:p>
    <w:p w14:paraId="29251A72" w14:textId="0E31C240" w:rsidR="00AC5FA3" w:rsidRPr="005360C3" w:rsidRDefault="00AC5FA3" w:rsidP="00AC5FA3">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„(4)</w:t>
      </w:r>
      <w:r w:rsidRPr="005360C3">
        <w:rPr>
          <w:rFonts w:asciiTheme="minorHAnsi" w:hAnsiTheme="minorHAnsi" w:cstheme="minorHAnsi"/>
          <w:i/>
          <w:iCs/>
          <w:sz w:val="22"/>
        </w:rPr>
        <w:tab/>
        <w:t>Izuzetno od prethodnih stavaka, rastilište za znanstvena istraživanja moguće je smjestiti unutar vodonosnog područja na lokaciji utvrđenoj ovim Planom (Jagodno), gdje se osim znanstvene djelatnosti mogu obavljati djelatnosti: edukacija-škola u prirodi, terenska nastava za fakultete i sl.“</w:t>
      </w:r>
    </w:p>
    <w:p w14:paraId="5E3EB08F" w14:textId="77777777" w:rsidR="00AC5FA3" w:rsidRPr="005360C3" w:rsidRDefault="00AC5FA3" w:rsidP="0042685A">
      <w:pPr>
        <w:spacing w:line="240" w:lineRule="auto"/>
        <w:rPr>
          <w:rFonts w:asciiTheme="minorHAnsi" w:hAnsiTheme="minorHAnsi" w:cstheme="minorHAnsi"/>
          <w:sz w:val="22"/>
        </w:rPr>
      </w:pPr>
    </w:p>
    <w:p w14:paraId="78673BAC" w14:textId="77777777" w:rsidR="00AC5FA3" w:rsidRPr="005360C3" w:rsidRDefault="00AC5FA3" w:rsidP="00AC5FA3">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2B693816" w14:textId="56576814" w:rsidR="00AC5FA3" w:rsidRPr="005360C3" w:rsidRDefault="00AC5FA3" w:rsidP="00AC5FA3">
      <w:pPr>
        <w:spacing w:line="240" w:lineRule="auto"/>
        <w:rPr>
          <w:rFonts w:asciiTheme="minorHAnsi" w:hAnsiTheme="minorHAnsi" w:cstheme="minorHAnsi"/>
          <w:sz w:val="22"/>
        </w:rPr>
      </w:pPr>
      <w:r w:rsidRPr="005360C3">
        <w:rPr>
          <w:rFonts w:asciiTheme="minorHAnsi" w:hAnsiTheme="minorHAnsi" w:cstheme="minorHAnsi"/>
          <w:sz w:val="22"/>
        </w:rPr>
        <w:t xml:space="preserve">U članku 129. dodaju se novi stavci </w:t>
      </w:r>
      <w:r w:rsidR="00E747DA">
        <w:rPr>
          <w:rFonts w:asciiTheme="minorHAnsi" w:hAnsiTheme="minorHAnsi" w:cstheme="minorHAnsi"/>
          <w:sz w:val="22"/>
        </w:rPr>
        <w:t xml:space="preserve">6.-14. </w:t>
      </w:r>
      <w:r w:rsidRPr="005360C3">
        <w:rPr>
          <w:rFonts w:asciiTheme="minorHAnsi" w:hAnsiTheme="minorHAnsi" w:cstheme="minorHAnsi"/>
          <w:sz w:val="22"/>
        </w:rPr>
        <w:t xml:space="preserve"> koji glase:</w:t>
      </w:r>
    </w:p>
    <w:p w14:paraId="6469AB89" w14:textId="14F1230C" w:rsidR="00AC5FA3" w:rsidRPr="005360C3" w:rsidRDefault="00AC5FA3" w:rsidP="00AC5FA3">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„(6)</w:t>
      </w:r>
      <w:r w:rsidRPr="005360C3">
        <w:rPr>
          <w:rFonts w:asciiTheme="minorHAnsi" w:hAnsiTheme="minorHAnsi" w:cstheme="minorHAnsi"/>
          <w:i/>
          <w:iCs/>
          <w:sz w:val="22"/>
        </w:rPr>
        <w:tab/>
        <w:t xml:space="preserve">Linijske komunalne i infrastrukturne građevine (vodoopskrba, odvodnja, plinoopskrba, centralni toplinski sustav, elektroenergetski i komunikacijski vodovi i dr.) polažu se unutar utvrđenih koridora prometnica ispod kolnih ili pješačkih površina prometnice. </w:t>
      </w:r>
    </w:p>
    <w:p w14:paraId="44E6893A" w14:textId="12C8ED10" w:rsidR="00AC5FA3" w:rsidRPr="005360C3" w:rsidRDefault="00AC5FA3" w:rsidP="00AC5FA3">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(7)</w:t>
      </w:r>
      <w:r w:rsidRPr="005360C3">
        <w:rPr>
          <w:rFonts w:asciiTheme="minorHAnsi" w:hAnsiTheme="minorHAnsi" w:cstheme="minorHAnsi"/>
          <w:i/>
          <w:iCs/>
          <w:sz w:val="22"/>
        </w:rPr>
        <w:tab/>
        <w:t>Polaganje vodova unutar zelenog pojasa prometnice nije dopušteno.</w:t>
      </w:r>
    </w:p>
    <w:p w14:paraId="5B2B4378" w14:textId="2D7AF53E" w:rsidR="00AC5FA3" w:rsidRPr="005360C3" w:rsidRDefault="00AC5FA3" w:rsidP="00AC5FA3">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(8)</w:t>
      </w:r>
      <w:r w:rsidRPr="005360C3">
        <w:rPr>
          <w:rFonts w:asciiTheme="minorHAnsi" w:hAnsiTheme="minorHAnsi" w:cstheme="minorHAnsi"/>
          <w:i/>
          <w:iCs/>
          <w:sz w:val="22"/>
        </w:rPr>
        <w:tab/>
        <w:t>Odredba iz stavka 6. i 7. ovoga članka primjenjuje se pri izgradnji novih i rekonstrukciji postojećih prometnica te pri izgradnji novih ili rekonstrukciji linijskih komunalnih i infrastrukturnih građevina unutar koridora prometnica.</w:t>
      </w:r>
    </w:p>
    <w:p w14:paraId="25C844C9" w14:textId="7D996C2A" w:rsidR="00AC5FA3" w:rsidRPr="005360C3" w:rsidRDefault="00AC5FA3" w:rsidP="00AC5FA3">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(9)</w:t>
      </w:r>
      <w:r w:rsidRPr="005360C3">
        <w:rPr>
          <w:rFonts w:asciiTheme="minorHAnsi" w:hAnsiTheme="minorHAnsi" w:cstheme="minorHAnsi"/>
          <w:i/>
          <w:iCs/>
          <w:sz w:val="22"/>
        </w:rPr>
        <w:tab/>
        <w:t>Kod planiranja i izgradnje novih javnih prometnica profil prometnice mora obuhvatiti kolnik, nogostupe i obostrane pojaseve za sadnju drvoreda minimalne širine 1,5 m.</w:t>
      </w:r>
    </w:p>
    <w:p w14:paraId="0F03A5F8" w14:textId="3999A59B" w:rsidR="00AC5FA3" w:rsidRPr="005360C3" w:rsidRDefault="00AC5FA3" w:rsidP="00AC5FA3">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(10)</w:t>
      </w:r>
      <w:r w:rsidRPr="005360C3">
        <w:rPr>
          <w:rFonts w:asciiTheme="minorHAnsi" w:hAnsiTheme="minorHAnsi" w:cstheme="minorHAnsi"/>
          <w:i/>
          <w:iCs/>
          <w:sz w:val="22"/>
        </w:rPr>
        <w:tab/>
        <w:t>Kod rekonstrukcije postojećih javnih prometnica sadnja drvoreda osigurava se gdje god to prostorne mogućnosti koridora prometnice dopuštaju.</w:t>
      </w:r>
    </w:p>
    <w:p w14:paraId="1A02D17F" w14:textId="0DE31CC1" w:rsidR="00AC5FA3" w:rsidRPr="005360C3" w:rsidRDefault="00AC5FA3" w:rsidP="00AC5FA3">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(11)</w:t>
      </w:r>
      <w:r w:rsidRPr="005360C3">
        <w:rPr>
          <w:rFonts w:asciiTheme="minorHAnsi" w:hAnsiTheme="minorHAnsi" w:cstheme="minorHAnsi"/>
          <w:i/>
          <w:iCs/>
          <w:sz w:val="22"/>
        </w:rPr>
        <w:tab/>
        <w:t>Pri izgradnji novih i rekonstrukciji postojećih prometnica te pri drugim zahvatima u koridorima javnih prometnica koji uključuju sadnju stabala ili uređenje zelenih površina, obvezna je izrada krajobraznog projekta.</w:t>
      </w:r>
    </w:p>
    <w:p w14:paraId="792BA3AA" w14:textId="534C3586" w:rsidR="00AC5FA3" w:rsidRPr="005360C3" w:rsidRDefault="00AC5FA3" w:rsidP="00AC5FA3">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(12)</w:t>
      </w:r>
      <w:r w:rsidRPr="005360C3">
        <w:rPr>
          <w:rFonts w:asciiTheme="minorHAnsi" w:hAnsiTheme="minorHAnsi" w:cstheme="minorHAnsi"/>
          <w:i/>
          <w:iCs/>
          <w:sz w:val="22"/>
        </w:rPr>
        <w:tab/>
        <w:t>Krajobrazni projekt iz stavka 11. ovoga članka mora sadržavati prometnu provjeru usklađenosti s posebnim propisima o sigurnosti prometa na cestama, koju izrađuje ovlašteni inženjer prometa, radi osiguranja sigurnog odvijanja prometa.</w:t>
      </w:r>
    </w:p>
    <w:p w14:paraId="1A32A93F" w14:textId="38BC75A3" w:rsidR="00AC5FA3" w:rsidRPr="005360C3" w:rsidRDefault="00AC5FA3" w:rsidP="00AC5FA3">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(13)</w:t>
      </w:r>
      <w:r w:rsidRPr="005360C3">
        <w:rPr>
          <w:rFonts w:asciiTheme="minorHAnsi" w:hAnsiTheme="minorHAnsi" w:cstheme="minorHAnsi"/>
          <w:i/>
          <w:iCs/>
          <w:sz w:val="22"/>
        </w:rPr>
        <w:tab/>
        <w:t>Prometna provjera iz stavka 12. ovoga članka osobito obuhvaća:</w:t>
      </w:r>
    </w:p>
    <w:p w14:paraId="24938C5D" w14:textId="77979438" w:rsidR="00AC5FA3" w:rsidRPr="005360C3" w:rsidRDefault="00AC5FA3">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utvrđivanje minimalnih udaljenosti sadnje stabala i druge vegetacije od raskrižja, sukladno projektnoj brzini prometnice;</w:t>
      </w:r>
    </w:p>
    <w:p w14:paraId="4B7C8149" w14:textId="56BEDD2B" w:rsidR="00AC5FA3" w:rsidRPr="005360C3" w:rsidRDefault="00AC5FA3">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provjeru i osiguranje slobodnog profila ceste i pješačko-biciklističkih površina (visina i širina slobodnog profila), uključujući utjecaj vegetacije na vidljivost prometne signalizacije i semaforskih uređaja;</w:t>
      </w:r>
    </w:p>
    <w:p w14:paraId="02789B86" w14:textId="3A21382E" w:rsidR="00AC5FA3" w:rsidRPr="005360C3" w:rsidRDefault="00AC5FA3">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utvrđivanje zona preglednosti i trokuta vidljivosti u područjima raskrižja, pješačkih prijelaza i kolnih prilaza, uz grafički prikaz polja preglednosti u sklopu situacijskog plana sadnje.</w:t>
      </w:r>
    </w:p>
    <w:p w14:paraId="67F31A86" w14:textId="65A5A3C4" w:rsidR="00AC5FA3" w:rsidRPr="005360C3" w:rsidRDefault="00AC5FA3" w:rsidP="00AC5FA3">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(14)</w:t>
      </w:r>
      <w:r w:rsidRPr="005360C3">
        <w:rPr>
          <w:rFonts w:asciiTheme="minorHAnsi" w:hAnsiTheme="minorHAnsi" w:cstheme="minorHAnsi"/>
          <w:i/>
          <w:iCs/>
          <w:sz w:val="22"/>
        </w:rPr>
        <w:tab/>
        <w:t>Raspored, vrsta i način održavanja vegetacije u koridorima prometnica moraju biti planirani i izvedeni na način da ne ugrožavaju sigurnost odvijanja prometa niti umanjuju vidljivost postojeće i planirane prometne signalizacije.</w:t>
      </w:r>
    </w:p>
    <w:p w14:paraId="77FB227E" w14:textId="77777777" w:rsidR="00AC5FA3" w:rsidRPr="005360C3" w:rsidRDefault="00AC5FA3" w:rsidP="0042685A">
      <w:pPr>
        <w:spacing w:line="240" w:lineRule="auto"/>
        <w:rPr>
          <w:rFonts w:asciiTheme="minorHAnsi" w:hAnsiTheme="minorHAnsi" w:cstheme="minorHAnsi"/>
          <w:sz w:val="22"/>
        </w:rPr>
      </w:pPr>
    </w:p>
    <w:p w14:paraId="2CCAB278" w14:textId="77777777" w:rsidR="00963C08" w:rsidRDefault="00963C08" w:rsidP="0099238C">
      <w:pPr>
        <w:pStyle w:val="StandardWeb"/>
        <w:shd w:val="clear" w:color="auto" w:fill="FFFFFF"/>
        <w:spacing w:before="0" w:beforeAutospacing="0" w:after="120" w:afterAutospacing="0"/>
        <w:jc w:val="center"/>
        <w:rPr>
          <w:rFonts w:asciiTheme="minorHAnsi" w:hAnsiTheme="minorHAnsi" w:cstheme="minorHAnsi"/>
          <w:b/>
          <w:sz w:val="22"/>
          <w:szCs w:val="22"/>
        </w:rPr>
      </w:pPr>
    </w:p>
    <w:p w14:paraId="4F31E631" w14:textId="3AA37BA1" w:rsidR="0099238C" w:rsidRPr="005360C3" w:rsidRDefault="0099238C" w:rsidP="0099238C">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lastRenderedPageBreak/>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4858BE37" w14:textId="51ED63E3" w:rsidR="0099238C" w:rsidRPr="005360C3" w:rsidRDefault="0099238C" w:rsidP="0099238C">
      <w:pPr>
        <w:spacing w:line="240" w:lineRule="auto"/>
        <w:rPr>
          <w:rFonts w:asciiTheme="minorHAnsi" w:hAnsiTheme="minorHAnsi" w:cstheme="minorHAnsi"/>
          <w:sz w:val="22"/>
        </w:rPr>
      </w:pPr>
      <w:r w:rsidRPr="005360C3">
        <w:rPr>
          <w:rFonts w:asciiTheme="minorHAnsi" w:hAnsiTheme="minorHAnsi" w:cstheme="minorHAnsi"/>
          <w:sz w:val="22"/>
        </w:rPr>
        <w:t>U članku 138. dodaju se novi stavci 3 - 8 koji glase:</w:t>
      </w:r>
    </w:p>
    <w:p w14:paraId="67EE37E2" w14:textId="1E47A89D" w:rsidR="0099238C" w:rsidRPr="005360C3" w:rsidRDefault="0099238C" w:rsidP="0099238C">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„(3)</w:t>
      </w:r>
      <w:r w:rsidRPr="005360C3">
        <w:rPr>
          <w:rFonts w:asciiTheme="minorHAnsi" w:hAnsiTheme="minorHAnsi" w:cstheme="minorHAnsi"/>
          <w:i/>
          <w:iCs/>
          <w:sz w:val="22"/>
        </w:rPr>
        <w:tab/>
        <w:t>Radi ublažavanja učinka urbanog toplinskog otoka, nenatkrivene parkirališne površine s osam ili više parkirališnih mjesta moraju se ozeleniti sadnjom stabala u rasteru parkirališnih mjesta. Najmanji broj stabala određuje se tako da se osigura najmanje jedno stablo na svaka četiri parkirališna mjesta. Broj stabala koji se mora zasaditi utvrđuje se prema ukupnom broju parkirališnih mjesta na parkirališnoj površini odnosno građevnoj čestici, neovisno o rasporedu redova parkiranja ili podjeli parkirališta na više manjih cjelina.</w:t>
      </w:r>
    </w:p>
    <w:p w14:paraId="38E2BE1B" w14:textId="77777777" w:rsidR="0099238C" w:rsidRPr="005360C3" w:rsidRDefault="0099238C" w:rsidP="0099238C">
      <w:pPr>
        <w:pStyle w:val="Odlomakpopisa"/>
        <w:ind w:left="0"/>
        <w:rPr>
          <w:rFonts w:asciiTheme="minorHAnsi" w:hAnsiTheme="minorHAnsi" w:cstheme="minorHAnsi"/>
          <w:color w:val="00B0F0"/>
          <w:sz w:val="22"/>
        </w:rPr>
      </w:pPr>
      <w:r w:rsidRPr="005360C3">
        <w:rPr>
          <w:rFonts w:asciiTheme="minorHAnsi" w:hAnsiTheme="minorHAnsi" w:cstheme="minorHAnsi"/>
          <w:noProof/>
          <w:color w:val="00B0F0"/>
          <w:sz w:val="22"/>
        </w:rPr>
        <w:drawing>
          <wp:inline distT="0" distB="0" distL="0" distR="0" wp14:anchorId="48A28E75" wp14:editId="3D2347BA">
            <wp:extent cx="5695950" cy="805425"/>
            <wp:effectExtent l="0" t="0" r="0" b="0"/>
            <wp:docPr id="1978217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6899" cy="809801"/>
                    </a:xfrm>
                    <a:prstGeom prst="rect">
                      <a:avLst/>
                    </a:prstGeom>
                    <a:noFill/>
                    <a:ln>
                      <a:noFill/>
                    </a:ln>
                  </pic:spPr>
                </pic:pic>
              </a:graphicData>
            </a:graphic>
          </wp:inline>
        </w:drawing>
      </w:r>
    </w:p>
    <w:p w14:paraId="6DA3E5F3" w14:textId="77777777" w:rsidR="0099238C" w:rsidRPr="005360C3" w:rsidRDefault="0099238C" w:rsidP="0099238C">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PM – parkirališno mjesto, S- stablo</w:t>
      </w:r>
    </w:p>
    <w:p w14:paraId="43B99ACE" w14:textId="5AF2DB7A" w:rsidR="0099238C" w:rsidRPr="005360C3" w:rsidRDefault="0099238C" w:rsidP="0099238C">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(4)</w:t>
      </w:r>
      <w:r w:rsidRPr="005360C3">
        <w:rPr>
          <w:rFonts w:asciiTheme="minorHAnsi" w:hAnsiTheme="minorHAnsi" w:cstheme="minorHAnsi"/>
          <w:i/>
          <w:iCs/>
          <w:sz w:val="22"/>
        </w:rPr>
        <w:tab/>
        <w:t>Za sadnju svakog stabla mora se osigurati površina prirodnog terena najmanje veličine jednog parkirališnog mjesta, koja se ne uračunava u broj parkirališnih mjesta. Površine za sadnju stabala moraju se nalaziti unutar parkirališne površine i ne mogu se zamijeniti sadnjom stabala izvan parkirališta.</w:t>
      </w:r>
    </w:p>
    <w:p w14:paraId="4274B0AB" w14:textId="65407E3F" w:rsidR="0099238C" w:rsidRPr="005360C3" w:rsidRDefault="0099238C" w:rsidP="0099238C">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(5)</w:t>
      </w:r>
      <w:r w:rsidRPr="005360C3">
        <w:rPr>
          <w:rFonts w:asciiTheme="minorHAnsi" w:hAnsiTheme="minorHAnsi" w:cstheme="minorHAnsi"/>
          <w:i/>
          <w:iCs/>
          <w:sz w:val="22"/>
        </w:rPr>
        <w:tab/>
        <w:t xml:space="preserve">Stabla se raspoređuju unutar parkirališne površine na način koji osigurava ravnomjernu raspodjelu i zasjenjenje parkirališnih mjesta. </w:t>
      </w:r>
    </w:p>
    <w:p w14:paraId="11AA762D" w14:textId="72B115DE" w:rsidR="0099238C" w:rsidRPr="005360C3" w:rsidRDefault="0099238C" w:rsidP="0099238C">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(6)</w:t>
      </w:r>
      <w:r w:rsidRPr="005360C3">
        <w:rPr>
          <w:rFonts w:asciiTheme="minorHAnsi" w:hAnsiTheme="minorHAnsi" w:cstheme="minorHAnsi"/>
          <w:i/>
          <w:iCs/>
          <w:sz w:val="22"/>
        </w:rPr>
        <w:tab/>
        <w:t>Pri uređenju novih ili rekonstrukciji postojećih otvorenih parkirališnih i manipulativnih površina iste se moraju izvoditi kao propusne površine primjenom propusnih materijala i opločenja (npr. travne rešetke, šuplji elementi, porozni opločnici, sipina, porozni asfalt i sl.) kako bi se omogućilo procjeđivanje oborinskih voda u tlo.</w:t>
      </w:r>
    </w:p>
    <w:p w14:paraId="53845EF5" w14:textId="1256FE08" w:rsidR="0099238C" w:rsidRPr="005360C3" w:rsidRDefault="0099238C" w:rsidP="0099238C">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(7)</w:t>
      </w:r>
      <w:r w:rsidRPr="005360C3">
        <w:rPr>
          <w:rFonts w:asciiTheme="minorHAnsi" w:hAnsiTheme="minorHAnsi" w:cstheme="minorHAnsi"/>
          <w:i/>
          <w:iCs/>
          <w:sz w:val="22"/>
        </w:rPr>
        <w:tab/>
        <w:t>Iznimno od stavka 6. ovoga članka, unutar zona gospodarske namjene, na manipulativnim površinama za teški teretni promet te na površinama gdje postoji povećana opasnost od istjecanja goriva, ulja ili drugih opasnih tvari, dopuštena je izvedba nepropusne kolničke konstrukcije. U tom slučaju odvodnja oborinskih onečišćenih voda mora se riješiti putem zatvorenog sustava odvodnje s ugradnjom uređaja za pročišćavanje (separatora ulja i masti) odgovarajućeg kapaciteta, sukladno posebnim propisima o zaštiti voda.</w:t>
      </w:r>
    </w:p>
    <w:p w14:paraId="183BC934" w14:textId="39F4E621" w:rsidR="0099238C" w:rsidRPr="005360C3" w:rsidRDefault="0099238C" w:rsidP="0099238C">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(8)</w:t>
      </w:r>
      <w:r w:rsidRPr="005360C3">
        <w:rPr>
          <w:rFonts w:asciiTheme="minorHAnsi" w:hAnsiTheme="minorHAnsi" w:cstheme="minorHAnsi"/>
          <w:i/>
          <w:iCs/>
          <w:sz w:val="22"/>
        </w:rPr>
        <w:tab/>
        <w:t>Odredbe stavaka 3. do 7. ovoga članka primjenjuju se na javne i privatne parkirališne površine.“</w:t>
      </w:r>
    </w:p>
    <w:p w14:paraId="48F73826" w14:textId="77777777" w:rsidR="0099238C" w:rsidRPr="005360C3" w:rsidRDefault="0099238C" w:rsidP="0099238C">
      <w:pPr>
        <w:widowControl w:val="0"/>
        <w:autoSpaceDE w:val="0"/>
        <w:autoSpaceDN w:val="0"/>
        <w:spacing w:after="0" w:line="240" w:lineRule="auto"/>
        <w:rPr>
          <w:rFonts w:asciiTheme="minorHAnsi" w:hAnsiTheme="minorHAnsi" w:cstheme="minorHAnsi"/>
          <w:i/>
          <w:iCs/>
          <w:sz w:val="22"/>
        </w:rPr>
      </w:pPr>
    </w:p>
    <w:p w14:paraId="64583576" w14:textId="77777777" w:rsidR="0099238C" w:rsidRPr="005360C3" w:rsidRDefault="0099238C" w:rsidP="0099238C">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2707E428" w14:textId="7A97EC93" w:rsidR="0099238C" w:rsidRPr="005360C3" w:rsidRDefault="0099238C" w:rsidP="0099238C">
      <w:pPr>
        <w:spacing w:line="240" w:lineRule="auto"/>
        <w:rPr>
          <w:rFonts w:asciiTheme="minorHAnsi" w:hAnsiTheme="minorHAnsi" w:cstheme="minorHAnsi"/>
          <w:sz w:val="22"/>
        </w:rPr>
      </w:pPr>
      <w:r w:rsidRPr="005360C3">
        <w:rPr>
          <w:rFonts w:asciiTheme="minorHAnsi" w:hAnsiTheme="minorHAnsi" w:cstheme="minorHAnsi"/>
          <w:sz w:val="22"/>
        </w:rPr>
        <w:t>U članku 152. stavku 4 alineji 4 tekst „</w:t>
      </w:r>
      <w:r w:rsidRPr="005360C3">
        <w:rPr>
          <w:rFonts w:asciiTheme="minorHAnsi" w:hAnsiTheme="minorHAnsi" w:cstheme="minorHAnsi"/>
          <w:i/>
          <w:iCs/>
          <w:sz w:val="22"/>
        </w:rPr>
        <w:t>Centra za gospodarenje otpadom</w:t>
      </w:r>
      <w:r w:rsidRPr="005360C3">
        <w:rPr>
          <w:rFonts w:asciiTheme="minorHAnsi" w:hAnsiTheme="minorHAnsi" w:cstheme="minorHAnsi"/>
          <w:sz w:val="22"/>
        </w:rPr>
        <w:t>“ zamijenjuje se tekstom „</w:t>
      </w:r>
      <w:r w:rsidRPr="005360C3">
        <w:rPr>
          <w:rFonts w:asciiTheme="minorHAnsi" w:hAnsiTheme="minorHAnsi" w:cstheme="minorHAnsi"/>
          <w:i/>
          <w:iCs/>
          <w:sz w:val="22"/>
        </w:rPr>
        <w:t>odlagališta neopasnog otpada</w:t>
      </w:r>
      <w:r w:rsidRPr="005360C3">
        <w:rPr>
          <w:rFonts w:asciiTheme="minorHAnsi" w:hAnsiTheme="minorHAnsi" w:cstheme="minorHAnsi"/>
          <w:sz w:val="22"/>
        </w:rPr>
        <w:t>“.</w:t>
      </w:r>
    </w:p>
    <w:p w14:paraId="3CA6C173" w14:textId="77777777" w:rsidR="0099238C" w:rsidRPr="005360C3" w:rsidRDefault="0099238C" w:rsidP="0099238C">
      <w:pPr>
        <w:widowControl w:val="0"/>
        <w:autoSpaceDE w:val="0"/>
        <w:autoSpaceDN w:val="0"/>
        <w:spacing w:after="0" w:line="240" w:lineRule="auto"/>
        <w:rPr>
          <w:rFonts w:asciiTheme="minorHAnsi" w:hAnsiTheme="minorHAnsi" w:cstheme="minorHAnsi"/>
          <w:i/>
          <w:iCs/>
          <w:sz w:val="22"/>
        </w:rPr>
      </w:pPr>
    </w:p>
    <w:p w14:paraId="2EE2C232" w14:textId="77777777" w:rsidR="0099238C" w:rsidRPr="005360C3" w:rsidRDefault="0099238C" w:rsidP="0099238C">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4C40B23C" w14:textId="269D461F" w:rsidR="0099238C" w:rsidRPr="005360C3" w:rsidRDefault="0099238C" w:rsidP="0099238C">
      <w:pPr>
        <w:spacing w:line="240" w:lineRule="auto"/>
        <w:rPr>
          <w:rFonts w:asciiTheme="minorHAnsi" w:hAnsiTheme="minorHAnsi" w:cstheme="minorHAnsi"/>
          <w:sz w:val="22"/>
        </w:rPr>
      </w:pPr>
      <w:r w:rsidRPr="005360C3">
        <w:rPr>
          <w:rFonts w:asciiTheme="minorHAnsi" w:hAnsiTheme="minorHAnsi" w:cstheme="minorHAnsi"/>
          <w:sz w:val="22"/>
        </w:rPr>
        <w:t>(1)</w:t>
      </w:r>
      <w:r w:rsidRPr="005360C3">
        <w:rPr>
          <w:rFonts w:asciiTheme="minorHAnsi" w:hAnsiTheme="minorHAnsi" w:cstheme="minorHAnsi"/>
          <w:sz w:val="22"/>
        </w:rPr>
        <w:tab/>
        <w:t>U članku 157. stavak 3 mijenja se i glasi:</w:t>
      </w:r>
    </w:p>
    <w:p w14:paraId="74CA45C5" w14:textId="7FB058A0" w:rsidR="0099238C" w:rsidRPr="005360C3" w:rsidRDefault="0099238C" w:rsidP="0099238C">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„(3)</w:t>
      </w:r>
      <w:r w:rsidRPr="005360C3">
        <w:rPr>
          <w:rFonts w:asciiTheme="minorHAnsi" w:hAnsiTheme="minorHAnsi" w:cstheme="minorHAnsi"/>
          <w:i/>
          <w:iCs/>
          <w:sz w:val="22"/>
        </w:rPr>
        <w:tab/>
        <w:t>Vrijednosti zaštitnih koridora visokonaponskih prijenosnih vodova iznose:</w:t>
      </w:r>
    </w:p>
    <w:p w14:paraId="0EE38264" w14:textId="77777777" w:rsidR="0099238C" w:rsidRPr="005360C3" w:rsidRDefault="0099238C" w:rsidP="0099238C">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ab/>
      </w:r>
    </w:p>
    <w:tbl>
      <w:tblPr>
        <w:tblStyle w:val="Reetkatablice"/>
        <w:tblW w:w="0" w:type="auto"/>
        <w:tblInd w:w="638" w:type="dxa"/>
        <w:tblLook w:val="04A0" w:firstRow="1" w:lastRow="0" w:firstColumn="1" w:lastColumn="0" w:noHBand="0" w:noVBand="1"/>
      </w:tblPr>
      <w:tblGrid>
        <w:gridCol w:w="2013"/>
        <w:gridCol w:w="1894"/>
        <w:gridCol w:w="1932"/>
        <w:gridCol w:w="1906"/>
      </w:tblGrid>
      <w:tr w:rsidR="0099238C" w:rsidRPr="005360C3" w14:paraId="0553245F" w14:textId="77777777" w:rsidTr="0099238C">
        <w:tc>
          <w:tcPr>
            <w:tcW w:w="2013" w:type="dxa"/>
            <w:vMerge w:val="restart"/>
          </w:tcPr>
          <w:p w14:paraId="490DF87D"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Vrsta i nazivni napon prijenosnog voda</w:t>
            </w:r>
          </w:p>
        </w:tc>
        <w:tc>
          <w:tcPr>
            <w:tcW w:w="1894" w:type="dxa"/>
            <w:vMerge w:val="restart"/>
          </w:tcPr>
          <w:p w14:paraId="3802BC29"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Tip prijenosnog voda</w:t>
            </w:r>
          </w:p>
        </w:tc>
        <w:tc>
          <w:tcPr>
            <w:tcW w:w="3838" w:type="dxa"/>
            <w:gridSpan w:val="2"/>
          </w:tcPr>
          <w:p w14:paraId="5BF9482F"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Najmanja širina zaštićenog pojasa (lijevo i desno od uzdužne osi prijenosnog voda)</w:t>
            </w:r>
          </w:p>
        </w:tc>
      </w:tr>
      <w:tr w:rsidR="0099238C" w:rsidRPr="005360C3" w14:paraId="7ECE8F5A" w14:textId="77777777" w:rsidTr="0099238C">
        <w:tc>
          <w:tcPr>
            <w:tcW w:w="2013" w:type="dxa"/>
            <w:vMerge/>
          </w:tcPr>
          <w:p w14:paraId="61A6F633" w14:textId="77777777" w:rsidR="0099238C" w:rsidRPr="005360C3" w:rsidRDefault="0099238C" w:rsidP="0099238C">
            <w:pPr>
              <w:spacing w:after="0" w:line="240" w:lineRule="auto"/>
              <w:rPr>
                <w:rFonts w:asciiTheme="minorHAnsi" w:hAnsiTheme="minorHAnsi" w:cstheme="minorHAnsi"/>
                <w:i/>
                <w:iCs/>
                <w:sz w:val="22"/>
                <w:lang w:val="hr-HR"/>
              </w:rPr>
            </w:pPr>
          </w:p>
        </w:tc>
        <w:tc>
          <w:tcPr>
            <w:tcW w:w="1894" w:type="dxa"/>
            <w:vMerge/>
          </w:tcPr>
          <w:p w14:paraId="5D3FEA60" w14:textId="77777777" w:rsidR="0099238C" w:rsidRPr="005360C3" w:rsidRDefault="0099238C" w:rsidP="0099238C">
            <w:pPr>
              <w:spacing w:after="0" w:line="240" w:lineRule="auto"/>
              <w:rPr>
                <w:rFonts w:asciiTheme="minorHAnsi" w:hAnsiTheme="minorHAnsi" w:cstheme="minorHAnsi"/>
                <w:i/>
                <w:iCs/>
                <w:sz w:val="22"/>
                <w:lang w:val="hr-HR"/>
              </w:rPr>
            </w:pPr>
          </w:p>
        </w:tc>
        <w:tc>
          <w:tcPr>
            <w:tcW w:w="1932" w:type="dxa"/>
          </w:tcPr>
          <w:p w14:paraId="780F5BA2"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Postojeći vodovi</w:t>
            </w:r>
          </w:p>
        </w:tc>
        <w:tc>
          <w:tcPr>
            <w:tcW w:w="1906" w:type="dxa"/>
          </w:tcPr>
          <w:p w14:paraId="003B523D"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Planirani vodovi</w:t>
            </w:r>
          </w:p>
        </w:tc>
      </w:tr>
      <w:tr w:rsidR="0099238C" w:rsidRPr="005360C3" w14:paraId="38E9AEBE" w14:textId="77777777" w:rsidTr="0099238C">
        <w:tc>
          <w:tcPr>
            <w:tcW w:w="2013" w:type="dxa"/>
            <w:vMerge w:val="restart"/>
          </w:tcPr>
          <w:p w14:paraId="555E5B71"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Nadzemni 110 kV</w:t>
            </w:r>
          </w:p>
        </w:tc>
        <w:tc>
          <w:tcPr>
            <w:tcW w:w="1894" w:type="dxa"/>
          </w:tcPr>
          <w:p w14:paraId="1FE6EDEC"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Jednostruki</w:t>
            </w:r>
          </w:p>
        </w:tc>
        <w:tc>
          <w:tcPr>
            <w:tcW w:w="1932" w:type="dxa"/>
          </w:tcPr>
          <w:p w14:paraId="7942317A"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20 m + 20 m</w:t>
            </w:r>
          </w:p>
        </w:tc>
        <w:tc>
          <w:tcPr>
            <w:tcW w:w="1906" w:type="dxa"/>
          </w:tcPr>
          <w:p w14:paraId="7B70FEBE"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25 m + 25 m</w:t>
            </w:r>
          </w:p>
        </w:tc>
      </w:tr>
      <w:tr w:rsidR="0099238C" w:rsidRPr="005360C3" w14:paraId="14E8C196" w14:textId="77777777" w:rsidTr="0099238C">
        <w:tc>
          <w:tcPr>
            <w:tcW w:w="2013" w:type="dxa"/>
            <w:vMerge/>
          </w:tcPr>
          <w:p w14:paraId="77E18244" w14:textId="77777777" w:rsidR="0099238C" w:rsidRPr="005360C3" w:rsidRDefault="0099238C" w:rsidP="0099238C">
            <w:pPr>
              <w:spacing w:after="0" w:line="240" w:lineRule="auto"/>
              <w:rPr>
                <w:rFonts w:asciiTheme="minorHAnsi" w:hAnsiTheme="minorHAnsi" w:cstheme="minorHAnsi"/>
                <w:i/>
                <w:iCs/>
                <w:sz w:val="22"/>
                <w:lang w:val="hr-HR"/>
              </w:rPr>
            </w:pPr>
          </w:p>
        </w:tc>
        <w:tc>
          <w:tcPr>
            <w:tcW w:w="1894" w:type="dxa"/>
          </w:tcPr>
          <w:p w14:paraId="214F6357"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Dvostruki</w:t>
            </w:r>
          </w:p>
        </w:tc>
        <w:tc>
          <w:tcPr>
            <w:tcW w:w="1932" w:type="dxa"/>
          </w:tcPr>
          <w:p w14:paraId="7DA2C529"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25 m + 25 m</w:t>
            </w:r>
          </w:p>
        </w:tc>
        <w:tc>
          <w:tcPr>
            <w:tcW w:w="1906" w:type="dxa"/>
          </w:tcPr>
          <w:p w14:paraId="6872BDD0"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30 m + 30 m</w:t>
            </w:r>
          </w:p>
        </w:tc>
      </w:tr>
      <w:tr w:rsidR="0099238C" w:rsidRPr="005360C3" w14:paraId="301DF669" w14:textId="77777777" w:rsidTr="0099238C">
        <w:tc>
          <w:tcPr>
            <w:tcW w:w="2013" w:type="dxa"/>
            <w:vMerge w:val="restart"/>
          </w:tcPr>
          <w:p w14:paraId="405755FC"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Nadzemni 220 kV</w:t>
            </w:r>
          </w:p>
        </w:tc>
        <w:tc>
          <w:tcPr>
            <w:tcW w:w="1894" w:type="dxa"/>
          </w:tcPr>
          <w:p w14:paraId="718A6AC1"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Jednostruki</w:t>
            </w:r>
          </w:p>
        </w:tc>
        <w:tc>
          <w:tcPr>
            <w:tcW w:w="1932" w:type="dxa"/>
          </w:tcPr>
          <w:p w14:paraId="662E4F85"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25 m + 25 m</w:t>
            </w:r>
          </w:p>
        </w:tc>
        <w:tc>
          <w:tcPr>
            <w:tcW w:w="1906" w:type="dxa"/>
          </w:tcPr>
          <w:p w14:paraId="19AD8041"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30 m + 30 m</w:t>
            </w:r>
          </w:p>
        </w:tc>
      </w:tr>
      <w:tr w:rsidR="0099238C" w:rsidRPr="005360C3" w14:paraId="2F1F99A8" w14:textId="77777777" w:rsidTr="0099238C">
        <w:tc>
          <w:tcPr>
            <w:tcW w:w="2013" w:type="dxa"/>
            <w:vMerge/>
          </w:tcPr>
          <w:p w14:paraId="0882E7D9" w14:textId="77777777" w:rsidR="0099238C" w:rsidRPr="005360C3" w:rsidRDefault="0099238C" w:rsidP="0099238C">
            <w:pPr>
              <w:spacing w:after="0" w:line="240" w:lineRule="auto"/>
              <w:rPr>
                <w:rFonts w:asciiTheme="minorHAnsi" w:hAnsiTheme="minorHAnsi" w:cstheme="minorHAnsi"/>
                <w:i/>
                <w:iCs/>
                <w:sz w:val="22"/>
                <w:lang w:val="hr-HR"/>
              </w:rPr>
            </w:pPr>
          </w:p>
        </w:tc>
        <w:tc>
          <w:tcPr>
            <w:tcW w:w="1894" w:type="dxa"/>
          </w:tcPr>
          <w:p w14:paraId="2105312C"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Dvostruki</w:t>
            </w:r>
          </w:p>
        </w:tc>
        <w:tc>
          <w:tcPr>
            <w:tcW w:w="1932" w:type="dxa"/>
          </w:tcPr>
          <w:p w14:paraId="5F3C2772"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30 m + 30 m</w:t>
            </w:r>
          </w:p>
        </w:tc>
        <w:tc>
          <w:tcPr>
            <w:tcW w:w="1906" w:type="dxa"/>
          </w:tcPr>
          <w:p w14:paraId="21C21EAD"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35 m + 35 m</w:t>
            </w:r>
          </w:p>
        </w:tc>
      </w:tr>
      <w:tr w:rsidR="0099238C" w:rsidRPr="005360C3" w14:paraId="7AA9B1B4" w14:textId="77777777" w:rsidTr="0099238C">
        <w:tc>
          <w:tcPr>
            <w:tcW w:w="2013" w:type="dxa"/>
            <w:vMerge w:val="restart"/>
          </w:tcPr>
          <w:p w14:paraId="6A568E75"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lastRenderedPageBreak/>
              <w:t>Nadzemni 400 kV</w:t>
            </w:r>
          </w:p>
        </w:tc>
        <w:tc>
          <w:tcPr>
            <w:tcW w:w="1894" w:type="dxa"/>
          </w:tcPr>
          <w:p w14:paraId="15A402D6"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Jednostruki</w:t>
            </w:r>
          </w:p>
        </w:tc>
        <w:tc>
          <w:tcPr>
            <w:tcW w:w="1932" w:type="dxa"/>
          </w:tcPr>
          <w:p w14:paraId="500D8789"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35 m + 35 m</w:t>
            </w:r>
          </w:p>
        </w:tc>
        <w:tc>
          <w:tcPr>
            <w:tcW w:w="1906" w:type="dxa"/>
          </w:tcPr>
          <w:p w14:paraId="32156AA9"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40 m + 40 m</w:t>
            </w:r>
          </w:p>
        </w:tc>
      </w:tr>
      <w:tr w:rsidR="0099238C" w:rsidRPr="005360C3" w14:paraId="38662FBE" w14:textId="77777777" w:rsidTr="0099238C">
        <w:tc>
          <w:tcPr>
            <w:tcW w:w="2013" w:type="dxa"/>
            <w:vMerge/>
          </w:tcPr>
          <w:p w14:paraId="5B133E33" w14:textId="77777777" w:rsidR="0099238C" w:rsidRPr="005360C3" w:rsidRDefault="0099238C" w:rsidP="0099238C">
            <w:pPr>
              <w:spacing w:after="0" w:line="240" w:lineRule="auto"/>
              <w:rPr>
                <w:rFonts w:asciiTheme="minorHAnsi" w:hAnsiTheme="minorHAnsi" w:cstheme="minorHAnsi"/>
                <w:i/>
                <w:iCs/>
                <w:sz w:val="22"/>
                <w:lang w:val="hr-HR"/>
              </w:rPr>
            </w:pPr>
          </w:p>
        </w:tc>
        <w:tc>
          <w:tcPr>
            <w:tcW w:w="1894" w:type="dxa"/>
          </w:tcPr>
          <w:p w14:paraId="0C461574"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Dvostruki</w:t>
            </w:r>
          </w:p>
        </w:tc>
        <w:tc>
          <w:tcPr>
            <w:tcW w:w="1932" w:type="dxa"/>
          </w:tcPr>
          <w:p w14:paraId="77B1BE55"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40 m + 40 m</w:t>
            </w:r>
          </w:p>
        </w:tc>
        <w:tc>
          <w:tcPr>
            <w:tcW w:w="1906" w:type="dxa"/>
          </w:tcPr>
          <w:p w14:paraId="78DFAFBF" w14:textId="77777777" w:rsidR="0099238C" w:rsidRPr="005360C3" w:rsidRDefault="0099238C" w:rsidP="0099238C">
            <w:pPr>
              <w:spacing w:after="0" w:line="240" w:lineRule="auto"/>
              <w:rPr>
                <w:rFonts w:asciiTheme="minorHAnsi" w:hAnsiTheme="minorHAnsi" w:cstheme="minorHAnsi"/>
                <w:i/>
                <w:iCs/>
                <w:sz w:val="22"/>
                <w:lang w:val="hr-HR"/>
              </w:rPr>
            </w:pPr>
            <w:r w:rsidRPr="005360C3">
              <w:rPr>
                <w:rFonts w:asciiTheme="minorHAnsi" w:hAnsiTheme="minorHAnsi" w:cstheme="minorHAnsi"/>
                <w:i/>
                <w:iCs/>
                <w:sz w:val="22"/>
                <w:lang w:val="hr-HR"/>
              </w:rPr>
              <w:t>50 m + 50 m</w:t>
            </w:r>
          </w:p>
        </w:tc>
      </w:tr>
    </w:tbl>
    <w:p w14:paraId="76838719" w14:textId="18A8ABA4" w:rsidR="0099238C" w:rsidRPr="005360C3" w:rsidRDefault="0099238C" w:rsidP="0099238C">
      <w:pPr>
        <w:widowControl w:val="0"/>
        <w:autoSpaceDE w:val="0"/>
        <w:autoSpaceDN w:val="0"/>
        <w:spacing w:after="0" w:line="240" w:lineRule="auto"/>
        <w:rPr>
          <w:rFonts w:asciiTheme="minorHAnsi" w:hAnsiTheme="minorHAnsi" w:cstheme="minorHAnsi"/>
          <w:i/>
          <w:iCs/>
          <w:sz w:val="22"/>
        </w:rPr>
      </w:pPr>
    </w:p>
    <w:p w14:paraId="39602920" w14:textId="3D65641C" w:rsidR="0099238C" w:rsidRPr="005360C3" w:rsidRDefault="0099238C" w:rsidP="0099238C">
      <w:pPr>
        <w:spacing w:line="240" w:lineRule="auto"/>
        <w:rPr>
          <w:rFonts w:asciiTheme="minorHAnsi" w:hAnsiTheme="minorHAnsi" w:cstheme="minorHAnsi"/>
          <w:sz w:val="22"/>
        </w:rPr>
      </w:pPr>
      <w:r w:rsidRPr="005360C3">
        <w:rPr>
          <w:rFonts w:asciiTheme="minorHAnsi" w:hAnsiTheme="minorHAnsi" w:cstheme="minorHAnsi"/>
          <w:sz w:val="22"/>
        </w:rPr>
        <w:t>(2)</w:t>
      </w:r>
      <w:r w:rsidRPr="005360C3">
        <w:rPr>
          <w:rFonts w:asciiTheme="minorHAnsi" w:hAnsiTheme="minorHAnsi" w:cstheme="minorHAnsi"/>
          <w:sz w:val="22"/>
        </w:rPr>
        <w:tab/>
        <w:t>Dodaju se stavci 6 i 7 koji glase:</w:t>
      </w:r>
    </w:p>
    <w:p w14:paraId="760A6FBF" w14:textId="7E3AC955" w:rsidR="0099238C" w:rsidRPr="005360C3" w:rsidRDefault="0099238C" w:rsidP="0099238C">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„(6)</w:t>
      </w:r>
      <w:r w:rsidRPr="005360C3">
        <w:rPr>
          <w:rFonts w:asciiTheme="minorHAnsi" w:hAnsiTheme="minorHAnsi" w:cstheme="minorHAnsi"/>
          <w:i/>
          <w:iCs/>
          <w:sz w:val="22"/>
        </w:rPr>
        <w:tab/>
        <w:t>Zaštitni koridor dalekovoda određen je površinom i zračnim prostorom pored, ispod i iznad prijenosnog elektroenergetskog objekta koji je nužan za prostorno planiranje, lokacijsko utvrđenje, izgradnju, pogon i održavanje dalekovoda. U blizini prijenosnog objekta, djelomično u zaštićenom koridoru ili na njegovim granicama, ostali sudionici u prostoru smiju graditi i koristiti građevine određene namjene i obavljati određene djelatnosti samo prema posebnim propisima koje određuje operator prijenosne mreže.</w:t>
      </w:r>
    </w:p>
    <w:p w14:paraId="096DEF12" w14:textId="1FE0CB29" w:rsidR="0099238C" w:rsidRPr="005360C3" w:rsidRDefault="0099238C" w:rsidP="0099238C">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(7)</w:t>
      </w:r>
      <w:r w:rsidRPr="005360C3">
        <w:rPr>
          <w:rFonts w:asciiTheme="minorHAnsi" w:hAnsiTheme="minorHAnsi" w:cstheme="minorHAnsi"/>
          <w:i/>
          <w:iCs/>
          <w:sz w:val="22"/>
        </w:rPr>
        <w:tab/>
        <w:t>Tijelo koje vodi upravni postupak izdavanja dozvola za zahvat u prostoru i dozvola za gradnju građevina u zaštitnom koridoru visokonaponskog dalekovoda (110, 220 i 400 kV) dužno je zatražiti posebne uvjete gradnje od nadležne elektroprivredne tvrtke.“</w:t>
      </w:r>
    </w:p>
    <w:p w14:paraId="21DDF721" w14:textId="77777777" w:rsidR="0099238C" w:rsidRPr="005360C3" w:rsidRDefault="0099238C" w:rsidP="0099238C">
      <w:pPr>
        <w:spacing w:line="240" w:lineRule="auto"/>
        <w:rPr>
          <w:rFonts w:asciiTheme="minorHAnsi" w:hAnsiTheme="minorHAnsi" w:cstheme="minorHAnsi"/>
          <w:sz w:val="22"/>
        </w:rPr>
      </w:pPr>
    </w:p>
    <w:p w14:paraId="1C996B22" w14:textId="77777777" w:rsidR="0099238C" w:rsidRPr="005360C3" w:rsidRDefault="0099238C" w:rsidP="0099238C">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44AFC820" w14:textId="289AF3D4" w:rsidR="0099238C" w:rsidRPr="005360C3" w:rsidRDefault="0099238C" w:rsidP="0099238C">
      <w:pPr>
        <w:spacing w:line="240" w:lineRule="auto"/>
        <w:rPr>
          <w:rFonts w:asciiTheme="minorHAnsi" w:hAnsiTheme="minorHAnsi" w:cstheme="minorHAnsi"/>
          <w:sz w:val="22"/>
        </w:rPr>
      </w:pPr>
      <w:r w:rsidRPr="005360C3">
        <w:rPr>
          <w:rFonts w:asciiTheme="minorHAnsi" w:hAnsiTheme="minorHAnsi" w:cstheme="minorHAnsi"/>
          <w:sz w:val="22"/>
        </w:rPr>
        <w:t>(1)</w:t>
      </w:r>
      <w:r w:rsidRPr="005360C3">
        <w:rPr>
          <w:rFonts w:asciiTheme="minorHAnsi" w:hAnsiTheme="minorHAnsi" w:cstheme="minorHAnsi"/>
          <w:sz w:val="22"/>
        </w:rPr>
        <w:tab/>
        <w:t>U članku 162. dodaje se stavak 4 koji glasi:</w:t>
      </w:r>
    </w:p>
    <w:p w14:paraId="2C546656" w14:textId="5965C7B6" w:rsidR="0099238C" w:rsidRPr="005360C3" w:rsidRDefault="0099238C" w:rsidP="0099238C">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„(4)</w:t>
      </w:r>
      <w:r w:rsidRPr="005360C3">
        <w:rPr>
          <w:rFonts w:asciiTheme="minorHAnsi" w:hAnsiTheme="minorHAnsi" w:cstheme="minorHAnsi"/>
          <w:i/>
          <w:iCs/>
          <w:sz w:val="22"/>
        </w:rPr>
        <w:tab/>
        <w:t>Za potencijalno vodozaštitno područje Črnkovec – uža lokacija koje se prostire na području grada Velika Gorica, mjere i ograničenja u prostoru usklađuju se s ponašanjima i postupanjima u prostoru definiranim Pravilnikom o zonama sanitarne zaštite izvorišta, a odnose se na I zaštitnu zonu - zona strogog režima zaštite i nadzora, te za potencijalno vodozaštitno područje Črnkovec –područje rezervirano za razvoj izvorišta, a koje se prostire na području grada Velika Gorica. i definirano je kao III. Kategorija (područje ograničenja gradnje), mjere zaštite i ograničenja u prostoru provode se sukladno VII. Izmjenama i dopunama Odluke o donošenju Prostornog plana Zagrebačke županije (Glasnik Zagrebačke županije" br. 43/2020).“</w:t>
      </w:r>
    </w:p>
    <w:p w14:paraId="31CD7D44" w14:textId="77777777" w:rsidR="0099238C" w:rsidRPr="005360C3" w:rsidRDefault="0099238C" w:rsidP="0099238C">
      <w:pPr>
        <w:widowControl w:val="0"/>
        <w:autoSpaceDE w:val="0"/>
        <w:autoSpaceDN w:val="0"/>
        <w:spacing w:after="0" w:line="240" w:lineRule="auto"/>
        <w:rPr>
          <w:rFonts w:asciiTheme="minorHAnsi" w:hAnsiTheme="minorHAnsi" w:cstheme="minorHAnsi"/>
          <w:i/>
          <w:iCs/>
          <w:sz w:val="22"/>
        </w:rPr>
      </w:pPr>
    </w:p>
    <w:p w14:paraId="5F9B8278" w14:textId="77777777" w:rsidR="0099238C" w:rsidRPr="005360C3" w:rsidRDefault="0099238C" w:rsidP="0099238C">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6BE92203" w14:textId="26850A44" w:rsidR="0099238C" w:rsidRPr="005360C3" w:rsidRDefault="0099238C" w:rsidP="0099238C">
      <w:pPr>
        <w:spacing w:line="240" w:lineRule="auto"/>
        <w:rPr>
          <w:rFonts w:asciiTheme="minorHAnsi" w:hAnsiTheme="minorHAnsi" w:cstheme="minorHAnsi"/>
          <w:sz w:val="22"/>
        </w:rPr>
      </w:pPr>
      <w:r w:rsidRPr="005360C3">
        <w:rPr>
          <w:rFonts w:asciiTheme="minorHAnsi" w:hAnsiTheme="minorHAnsi" w:cstheme="minorHAnsi"/>
          <w:sz w:val="22"/>
        </w:rPr>
        <w:t xml:space="preserve">U članku 165. dodaju se novi stavci </w:t>
      </w:r>
      <w:r w:rsidR="00611CF0" w:rsidRPr="005360C3">
        <w:rPr>
          <w:rFonts w:asciiTheme="minorHAnsi" w:hAnsiTheme="minorHAnsi" w:cstheme="minorHAnsi"/>
          <w:sz w:val="22"/>
        </w:rPr>
        <w:t>5</w:t>
      </w:r>
      <w:r w:rsidRPr="005360C3">
        <w:rPr>
          <w:rFonts w:asciiTheme="minorHAnsi" w:hAnsiTheme="minorHAnsi" w:cstheme="minorHAnsi"/>
          <w:sz w:val="22"/>
        </w:rPr>
        <w:t xml:space="preserve"> </w:t>
      </w:r>
      <w:r w:rsidR="00611CF0" w:rsidRPr="005360C3">
        <w:rPr>
          <w:rFonts w:asciiTheme="minorHAnsi" w:hAnsiTheme="minorHAnsi" w:cstheme="minorHAnsi"/>
          <w:sz w:val="22"/>
        </w:rPr>
        <w:t>i 6</w:t>
      </w:r>
      <w:r w:rsidRPr="005360C3">
        <w:rPr>
          <w:rFonts w:asciiTheme="minorHAnsi" w:hAnsiTheme="minorHAnsi" w:cstheme="minorHAnsi"/>
          <w:sz w:val="22"/>
        </w:rPr>
        <w:t xml:space="preserve"> koji glase:</w:t>
      </w:r>
    </w:p>
    <w:p w14:paraId="1A922E15" w14:textId="60C5D19F" w:rsidR="0099238C" w:rsidRPr="005360C3" w:rsidRDefault="00611CF0" w:rsidP="00611CF0">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„(5)</w:t>
      </w:r>
      <w:r w:rsidRPr="005360C3">
        <w:rPr>
          <w:rFonts w:asciiTheme="minorHAnsi" w:hAnsiTheme="minorHAnsi" w:cstheme="minorHAnsi"/>
          <w:i/>
          <w:iCs/>
          <w:sz w:val="22"/>
        </w:rPr>
        <w:tab/>
      </w:r>
      <w:r w:rsidR="0099238C" w:rsidRPr="005360C3">
        <w:rPr>
          <w:rFonts w:asciiTheme="minorHAnsi" w:hAnsiTheme="minorHAnsi" w:cstheme="minorHAnsi"/>
          <w:i/>
          <w:iCs/>
          <w:sz w:val="22"/>
        </w:rPr>
        <w:t>Na osjetljivim područjima i slivovima osjetljivih područja je, zbog postizanja ciljeva zaštite voda, potrebno provesti višu razinu ili viši stupanj pročišćavanja komunalnih otpadnih voda, sukladno odredbama Pravilnika o graničnim vrijednostima emisija otpadnih voda</w:t>
      </w:r>
    </w:p>
    <w:p w14:paraId="74FEA249" w14:textId="6AE335EA" w:rsidR="0099238C" w:rsidRPr="005360C3" w:rsidRDefault="00611CF0" w:rsidP="00611CF0">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(6)</w:t>
      </w:r>
      <w:r w:rsidRPr="005360C3">
        <w:rPr>
          <w:rFonts w:asciiTheme="minorHAnsi" w:hAnsiTheme="minorHAnsi" w:cstheme="minorHAnsi"/>
          <w:i/>
          <w:iCs/>
          <w:sz w:val="22"/>
        </w:rPr>
        <w:tab/>
      </w:r>
      <w:r w:rsidR="0099238C" w:rsidRPr="005360C3">
        <w:rPr>
          <w:rFonts w:asciiTheme="minorHAnsi" w:hAnsiTheme="minorHAnsi" w:cstheme="minorHAnsi"/>
          <w:i/>
          <w:iCs/>
          <w:sz w:val="22"/>
        </w:rPr>
        <w:t>Sukladno Pravilniku o graničnim vrijednostima emisija otpadnih voda:</w:t>
      </w:r>
    </w:p>
    <w:p w14:paraId="67A4AF5F" w14:textId="77777777" w:rsidR="0099238C" w:rsidRPr="005360C3" w:rsidRDefault="0099238C">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Novim onečišćivačima koji ispuštaju otpadne vode u vodno tijelo u najmanje dobrom stanju, uvjeti ispuštanja otpadnih voda propisuju se na sljedeći način:</w:t>
      </w:r>
    </w:p>
    <w:p w14:paraId="33E8BC3C" w14:textId="77777777" w:rsidR="0099238C" w:rsidRPr="005360C3" w:rsidRDefault="0099238C">
      <w:pPr>
        <w:pStyle w:val="Odlomakpopisa"/>
        <w:widowControl w:val="0"/>
        <w:numPr>
          <w:ilvl w:val="1"/>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ukoliko dodatno opterećenje ispuštenih otpadnih voda (primjenom graničnih vrijednosti emisija) neće utjecati na pogoršanje stanja vodnog tijela i nizvodnih vodnih tijela, propisuju se granične vrijednosti emisija iz Pravilnika</w:t>
      </w:r>
    </w:p>
    <w:p w14:paraId="028A12C8" w14:textId="77777777" w:rsidR="0099238C" w:rsidRPr="005360C3" w:rsidRDefault="0099238C">
      <w:pPr>
        <w:pStyle w:val="Odlomakpopisa"/>
        <w:widowControl w:val="0"/>
        <w:numPr>
          <w:ilvl w:val="1"/>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ukoliko dodatno opterećenje ispuštene otpadne vode pogoršava stanje vodnog tijela i nizvodnih vodnih tijela propisuju se strože granične vrijednosti emisija od onih propisanih Pravilnikom i to do onih graničnih vrijednosti koje neće utjecati na pogoršanje stanja vodnog tijela.</w:t>
      </w:r>
    </w:p>
    <w:p w14:paraId="05FF32FD" w14:textId="77777777" w:rsidR="0099238C" w:rsidRPr="005360C3" w:rsidRDefault="0099238C">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Novim onečišćivačima neće se dozvoliti ispuštanje otpadnih voda ako ugrožavaju postizanje ciljeva zaštite voda (postizanje najmanje dobrog stanja ili dobrog ekološkog potencijala i kemijskog stanja) ili ako uzrokuju pogoršanje stanja voda, osim ako je Planom upravljanja vodnim područjima utvrđeno izuzeće od postizanja ciljeva zaštite voda ili odlukama Vlade Republike Hrvatske utvrđen prevladavajući javni interes.</w:t>
      </w:r>
    </w:p>
    <w:p w14:paraId="2A53CD76" w14:textId="77777777" w:rsidR="0099238C" w:rsidRPr="005360C3" w:rsidRDefault="0099238C">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Za postojeće onečišćivače koji ispuštaju otpadne vode u vodno tijelo u najmanje dobrom stanju, granične vrijednosti emisija propisuju se na sljedeći način:</w:t>
      </w:r>
    </w:p>
    <w:p w14:paraId="6BFDDF27" w14:textId="77777777" w:rsidR="0099238C" w:rsidRPr="005360C3" w:rsidRDefault="0099238C">
      <w:pPr>
        <w:pStyle w:val="Odlomakpopisa"/>
        <w:widowControl w:val="0"/>
        <w:numPr>
          <w:ilvl w:val="1"/>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 xml:space="preserve">ukoliko dodatno opterećenje ispuštenih otpadnih voda (primjenom graničnih vrijednosti emisija) neće utjecati na pogoršanje stanja vodnog tijela i nizvodnih </w:t>
      </w:r>
      <w:r w:rsidRPr="005360C3">
        <w:rPr>
          <w:rFonts w:asciiTheme="minorHAnsi" w:hAnsiTheme="minorHAnsi" w:cstheme="minorHAnsi"/>
          <w:i/>
          <w:iCs/>
          <w:sz w:val="22"/>
        </w:rPr>
        <w:lastRenderedPageBreak/>
        <w:t>vodnih tijela propisuju se granične vrijednosti emisija iz članka 4. ovoga Pravilnika</w:t>
      </w:r>
    </w:p>
    <w:p w14:paraId="0566CE13" w14:textId="77777777" w:rsidR="0099238C" w:rsidRPr="005360C3" w:rsidRDefault="0099238C">
      <w:pPr>
        <w:pStyle w:val="Odlomakpopisa"/>
        <w:widowControl w:val="0"/>
        <w:numPr>
          <w:ilvl w:val="1"/>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ukoliko dodatno opterećenje ispuštenih otpadnih voda pogoršava stanje vodnog tijela i nizvodnih vodnih tijela propisuju se strože granične vrijednosti emisija od onih propisanih člankom 4. ovoga Pravilnika i to do onih graničnih vrijednosti koje neće utjecati na pogoršanje stanja vodnog tijela.</w:t>
      </w:r>
    </w:p>
    <w:p w14:paraId="53FC642D" w14:textId="77777777" w:rsidR="0099238C" w:rsidRPr="005360C3" w:rsidRDefault="0099238C">
      <w:pPr>
        <w:pStyle w:val="Odlomakpopisa"/>
        <w:widowControl w:val="0"/>
        <w:numPr>
          <w:ilvl w:val="0"/>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Za postojeće onečišćivače koji ispuštaju otpadne vode u vodno tijelo koje nije u najmanje dobrom stanju postupa se na sljedeći način:</w:t>
      </w:r>
    </w:p>
    <w:p w14:paraId="149BF1CF" w14:textId="77777777" w:rsidR="0099238C" w:rsidRPr="005360C3" w:rsidRDefault="0099238C">
      <w:pPr>
        <w:pStyle w:val="Odlomakpopisa"/>
        <w:widowControl w:val="0"/>
        <w:numPr>
          <w:ilvl w:val="1"/>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kada je vodno tijelo u vrlo lošem i lošem stanju propisuju se uvjeti smanjenja opterećenja primjenom strožih graničnih vrijednosti emisija do razine postizanja najmanje umjerenog stanja na tom i nizvodnim vodnim tijelima kao prvi korak u postupku dovođenja voda u najmanje dobro stanje</w:t>
      </w:r>
    </w:p>
    <w:p w14:paraId="3D985569" w14:textId="77777777" w:rsidR="0099238C" w:rsidRPr="005360C3" w:rsidRDefault="0099238C">
      <w:pPr>
        <w:pStyle w:val="Odlomakpopisa"/>
        <w:widowControl w:val="0"/>
        <w:numPr>
          <w:ilvl w:val="1"/>
          <w:numId w:val="2"/>
        </w:numPr>
        <w:tabs>
          <w:tab w:val="left" w:pos="797"/>
        </w:tabs>
        <w:autoSpaceDE w:val="0"/>
        <w:autoSpaceDN w:val="0"/>
        <w:spacing w:after="0" w:line="240" w:lineRule="auto"/>
        <w:ind w:right="441"/>
        <w:contextualSpacing w:val="0"/>
        <w:rPr>
          <w:rFonts w:asciiTheme="minorHAnsi" w:hAnsiTheme="minorHAnsi" w:cstheme="minorHAnsi"/>
          <w:i/>
          <w:iCs/>
          <w:sz w:val="22"/>
        </w:rPr>
      </w:pPr>
      <w:r w:rsidRPr="005360C3">
        <w:rPr>
          <w:rFonts w:asciiTheme="minorHAnsi" w:hAnsiTheme="minorHAnsi" w:cstheme="minorHAnsi"/>
          <w:i/>
          <w:iCs/>
          <w:sz w:val="22"/>
        </w:rPr>
        <w:t>kada je vodno tijelo u umjerenom stanju propisuju se uvjeti smanjenja opterećenja primjenom strožih graničnih vrijednosti emisija do razine postizanja najmanje dobrog stanja.</w:t>
      </w:r>
    </w:p>
    <w:p w14:paraId="17BBCC1D" w14:textId="77777777" w:rsidR="0099238C" w:rsidRPr="005360C3" w:rsidRDefault="0099238C" w:rsidP="0099238C">
      <w:pPr>
        <w:spacing w:line="240" w:lineRule="auto"/>
        <w:rPr>
          <w:rFonts w:asciiTheme="minorHAnsi" w:hAnsiTheme="minorHAnsi" w:cstheme="minorHAnsi"/>
          <w:sz w:val="22"/>
        </w:rPr>
      </w:pPr>
    </w:p>
    <w:p w14:paraId="0179FAF5" w14:textId="77777777" w:rsidR="0009227A" w:rsidRPr="005360C3" w:rsidRDefault="0009227A" w:rsidP="0009227A">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3DA3C717" w14:textId="77777777" w:rsidR="007B1958" w:rsidRDefault="0009227A" w:rsidP="00611CF0">
      <w:pPr>
        <w:widowControl w:val="0"/>
        <w:autoSpaceDE w:val="0"/>
        <w:autoSpaceDN w:val="0"/>
        <w:spacing w:after="0" w:line="240" w:lineRule="auto"/>
        <w:rPr>
          <w:rFonts w:asciiTheme="minorHAnsi" w:hAnsiTheme="minorHAnsi" w:cstheme="minorHAnsi"/>
          <w:sz w:val="22"/>
        </w:rPr>
      </w:pPr>
      <w:r>
        <w:rPr>
          <w:rFonts w:asciiTheme="minorHAnsi" w:hAnsiTheme="minorHAnsi" w:cstheme="minorHAnsi"/>
          <w:sz w:val="22"/>
        </w:rPr>
        <w:t>U članku 166. dodaju se novi članci 5.-7. koji glase:</w:t>
      </w:r>
    </w:p>
    <w:p w14:paraId="2074510B" w14:textId="6148B710" w:rsidR="00611CF0" w:rsidRPr="005360C3" w:rsidRDefault="00611CF0" w:rsidP="00611CF0">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„(5)</w:t>
      </w:r>
      <w:r w:rsidRPr="005360C3">
        <w:rPr>
          <w:rFonts w:asciiTheme="minorHAnsi" w:hAnsiTheme="minorHAnsi" w:cstheme="minorHAnsi"/>
          <w:i/>
          <w:iCs/>
          <w:sz w:val="22"/>
        </w:rPr>
        <w:tab/>
        <w:t>S ciljem jačanja sustava zelene infrastrukture na području obuhvata ovoga Plana omogućuje se i potiče provedba sustava održive urbane odvodnje u skladu s posebnim propisima iz područja vodnog gospodarstva.</w:t>
      </w:r>
    </w:p>
    <w:p w14:paraId="2955E8DE" w14:textId="71ACE1D9" w:rsidR="00611CF0" w:rsidRPr="005360C3" w:rsidRDefault="00611CF0" w:rsidP="00611CF0">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(6)</w:t>
      </w:r>
      <w:r w:rsidRPr="005360C3">
        <w:rPr>
          <w:rFonts w:asciiTheme="minorHAnsi" w:hAnsiTheme="minorHAnsi" w:cstheme="minorHAnsi"/>
          <w:i/>
          <w:iCs/>
          <w:sz w:val="22"/>
        </w:rPr>
        <w:tab/>
        <w:t>Sustavi održive odvodnje obuhvaćaju planiranje i izvedbu kišnih vrtova, infiltracijskih površina, drenažnih slojeva, retencijskih i bioretencijskih elemenata kojima se nastoji imitirati prirodno otjecanje vode i zadržavanje oborinskih voda u slivu te rasteretiti javni sustav odvodnje.</w:t>
      </w:r>
    </w:p>
    <w:p w14:paraId="5FD34644" w14:textId="5B244F52" w:rsidR="00611CF0" w:rsidRPr="005360C3" w:rsidRDefault="00611CF0" w:rsidP="00611CF0">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(7)</w:t>
      </w:r>
      <w:r w:rsidRPr="005360C3">
        <w:rPr>
          <w:rFonts w:asciiTheme="minorHAnsi" w:hAnsiTheme="minorHAnsi" w:cstheme="minorHAnsi"/>
          <w:i/>
          <w:iCs/>
          <w:sz w:val="22"/>
        </w:rPr>
        <w:tab/>
        <w:t>Sustavi održive odvodnje mogu se primjenjivati  na području cijelog obuhvata Plana, a osobito se planiraju i primjenjuju u užem gradskom središtu i u sklopu zelenih površina.“</w:t>
      </w:r>
    </w:p>
    <w:p w14:paraId="6FC47A7A" w14:textId="77777777" w:rsidR="0099238C" w:rsidRPr="005360C3" w:rsidRDefault="0099238C" w:rsidP="0099238C">
      <w:pPr>
        <w:widowControl w:val="0"/>
        <w:autoSpaceDE w:val="0"/>
        <w:autoSpaceDN w:val="0"/>
        <w:spacing w:after="0" w:line="240" w:lineRule="auto"/>
        <w:rPr>
          <w:rFonts w:asciiTheme="minorHAnsi" w:hAnsiTheme="minorHAnsi" w:cstheme="minorHAnsi"/>
          <w:i/>
          <w:iCs/>
          <w:sz w:val="22"/>
        </w:rPr>
      </w:pPr>
    </w:p>
    <w:p w14:paraId="61633BB7" w14:textId="77777777" w:rsidR="00611CF0" w:rsidRPr="005360C3" w:rsidRDefault="00611CF0" w:rsidP="00611CF0">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36F6CD99" w14:textId="17615984" w:rsidR="00611CF0" w:rsidRPr="005360C3" w:rsidRDefault="00611CF0" w:rsidP="00611CF0">
      <w:pPr>
        <w:spacing w:line="240" w:lineRule="auto"/>
        <w:rPr>
          <w:rFonts w:asciiTheme="minorHAnsi" w:hAnsiTheme="minorHAnsi" w:cstheme="minorHAnsi"/>
          <w:i/>
          <w:iCs/>
          <w:sz w:val="22"/>
        </w:rPr>
      </w:pPr>
      <w:r w:rsidRPr="005360C3">
        <w:rPr>
          <w:rFonts w:asciiTheme="minorHAnsi" w:hAnsiTheme="minorHAnsi" w:cstheme="minorHAnsi"/>
          <w:sz w:val="22"/>
        </w:rPr>
        <w:t>U članku 208. u stavku 1 dodaje se novi tekst koji glasi: „</w:t>
      </w:r>
      <w:r w:rsidRPr="005360C3">
        <w:rPr>
          <w:rFonts w:asciiTheme="minorHAnsi" w:hAnsiTheme="minorHAnsi" w:cstheme="minorHAnsi"/>
          <w:i/>
          <w:iCs/>
          <w:sz w:val="22"/>
        </w:rPr>
        <w:t>Svi zahvati u prostoru moraju biti projektirani i građeni u skladu s Planom upravljanja vodnim područjima za period 2022-2027.g. (stanje vodnog tijela, osjetljivostpodručja, utjecaj na stanje vodnog tijela, područja pod opasnošću i rizikom od poplava), Višegodišnjem programu gradnje komunalnih vodnih građevina za razdoblje do 2030. godine (NN br.147/21), Višegodišnjem programu gradnje regulacijskih i zaštitnih vodnih građevina za plansko razdoblje 2021.-2030. godine.“</w:t>
      </w:r>
    </w:p>
    <w:p w14:paraId="02FA8F97" w14:textId="77777777" w:rsidR="00611CF0" w:rsidRPr="005360C3" w:rsidRDefault="00611CF0" w:rsidP="0099238C">
      <w:pPr>
        <w:widowControl w:val="0"/>
        <w:autoSpaceDE w:val="0"/>
        <w:autoSpaceDN w:val="0"/>
        <w:spacing w:after="0" w:line="240" w:lineRule="auto"/>
        <w:rPr>
          <w:rFonts w:asciiTheme="minorHAnsi" w:hAnsiTheme="minorHAnsi" w:cstheme="minorHAnsi"/>
          <w:i/>
          <w:iCs/>
          <w:sz w:val="22"/>
        </w:rPr>
      </w:pPr>
    </w:p>
    <w:p w14:paraId="6C777F60" w14:textId="77777777" w:rsidR="00611CF0" w:rsidRPr="005360C3" w:rsidRDefault="00611CF0" w:rsidP="00611CF0">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3F5E7C43" w14:textId="5CDF571F" w:rsidR="00611CF0" w:rsidRPr="005360C3" w:rsidRDefault="00611CF0" w:rsidP="00611CF0">
      <w:pPr>
        <w:spacing w:line="240" w:lineRule="auto"/>
        <w:rPr>
          <w:rFonts w:asciiTheme="minorHAnsi" w:hAnsiTheme="minorHAnsi" w:cstheme="minorHAnsi"/>
          <w:sz w:val="22"/>
        </w:rPr>
      </w:pPr>
      <w:r w:rsidRPr="005360C3">
        <w:rPr>
          <w:rFonts w:asciiTheme="minorHAnsi" w:hAnsiTheme="minorHAnsi" w:cstheme="minorHAnsi"/>
          <w:sz w:val="22"/>
        </w:rPr>
        <w:t>U članku 211. stavci 1 i 2 mijenjaju se i glase:</w:t>
      </w:r>
    </w:p>
    <w:p w14:paraId="7E9B6AC0" w14:textId="1C2B9E50" w:rsidR="00611CF0" w:rsidRPr="005360C3" w:rsidRDefault="00611CF0" w:rsidP="00611CF0">
      <w:pPr>
        <w:spacing w:line="240" w:lineRule="auto"/>
        <w:rPr>
          <w:rFonts w:asciiTheme="minorHAnsi" w:hAnsiTheme="minorHAnsi" w:cstheme="minorHAnsi"/>
          <w:i/>
          <w:iCs/>
          <w:sz w:val="22"/>
        </w:rPr>
      </w:pPr>
      <w:r w:rsidRPr="005360C3">
        <w:rPr>
          <w:rFonts w:asciiTheme="minorHAnsi" w:hAnsiTheme="minorHAnsi" w:cstheme="minorHAnsi"/>
          <w:i/>
          <w:iCs/>
          <w:sz w:val="22"/>
        </w:rPr>
        <w:t>„(1)</w:t>
      </w:r>
      <w:r w:rsidRPr="005360C3">
        <w:rPr>
          <w:rFonts w:asciiTheme="minorHAnsi" w:hAnsiTheme="minorHAnsi" w:cstheme="minorHAnsi"/>
          <w:i/>
          <w:iCs/>
          <w:sz w:val="22"/>
        </w:rPr>
        <w:tab/>
        <w:t>Za crpilište «Velika Gorica», zaštita izvorišta provodi se u skladu s Odlukom o zaštiti izvorišta Velika Gorica (Sl. glasnik Grada Velike Gorice 4/2023).</w:t>
      </w:r>
    </w:p>
    <w:p w14:paraId="2B5B37B2" w14:textId="467820D6" w:rsidR="00611CF0" w:rsidRPr="005360C3" w:rsidRDefault="00611CF0" w:rsidP="00611CF0">
      <w:pPr>
        <w:spacing w:line="240" w:lineRule="auto"/>
        <w:rPr>
          <w:rFonts w:asciiTheme="minorHAnsi" w:hAnsiTheme="minorHAnsi" w:cstheme="minorHAnsi"/>
          <w:i/>
          <w:iCs/>
          <w:sz w:val="22"/>
        </w:rPr>
      </w:pPr>
      <w:r w:rsidRPr="005360C3">
        <w:rPr>
          <w:rFonts w:asciiTheme="minorHAnsi" w:hAnsiTheme="minorHAnsi" w:cstheme="minorHAnsi"/>
          <w:i/>
          <w:iCs/>
          <w:sz w:val="22"/>
        </w:rPr>
        <w:t>(2)</w:t>
      </w:r>
      <w:r w:rsidRPr="005360C3">
        <w:rPr>
          <w:rFonts w:asciiTheme="minorHAnsi" w:hAnsiTheme="minorHAnsi" w:cstheme="minorHAnsi"/>
          <w:i/>
          <w:iCs/>
          <w:sz w:val="22"/>
        </w:rPr>
        <w:tab/>
        <w:t>Za crpilište «Kosnica I. faza», zaštita izvorišta provodi se u skladu s Odlukom zaštite izvorišta Kosnica I. faza (Službeni list Grada Velike Gorice 4/2023).“</w:t>
      </w:r>
    </w:p>
    <w:p w14:paraId="32A7DA89" w14:textId="77777777" w:rsidR="00611CF0" w:rsidRPr="005360C3" w:rsidRDefault="00611CF0" w:rsidP="0099238C">
      <w:pPr>
        <w:widowControl w:val="0"/>
        <w:autoSpaceDE w:val="0"/>
        <w:autoSpaceDN w:val="0"/>
        <w:spacing w:after="0" w:line="240" w:lineRule="auto"/>
        <w:rPr>
          <w:rFonts w:asciiTheme="minorHAnsi" w:hAnsiTheme="minorHAnsi" w:cstheme="minorHAnsi"/>
          <w:i/>
          <w:iCs/>
          <w:sz w:val="22"/>
        </w:rPr>
      </w:pPr>
    </w:p>
    <w:p w14:paraId="6874F605" w14:textId="77777777" w:rsidR="00611CF0" w:rsidRPr="005360C3" w:rsidRDefault="00611CF0" w:rsidP="00611CF0">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6A0F1F4A" w14:textId="76C4DB8D" w:rsidR="00611CF0" w:rsidRPr="005360C3" w:rsidRDefault="00611CF0" w:rsidP="00611CF0">
      <w:pPr>
        <w:spacing w:line="240" w:lineRule="auto"/>
        <w:rPr>
          <w:rFonts w:asciiTheme="minorHAnsi" w:hAnsiTheme="minorHAnsi" w:cstheme="minorHAnsi"/>
          <w:sz w:val="22"/>
        </w:rPr>
      </w:pPr>
      <w:r w:rsidRPr="005360C3">
        <w:rPr>
          <w:rFonts w:asciiTheme="minorHAnsi" w:hAnsiTheme="minorHAnsi" w:cstheme="minorHAnsi"/>
          <w:sz w:val="22"/>
        </w:rPr>
        <w:t>Članak 212. mijenja se i glasi:</w:t>
      </w:r>
    </w:p>
    <w:p w14:paraId="15ED1536" w14:textId="0FA78F72" w:rsidR="00611CF0" w:rsidRPr="005360C3" w:rsidRDefault="00611CF0" w:rsidP="00611CF0">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„(1)</w:t>
      </w:r>
      <w:r w:rsidRPr="005360C3">
        <w:rPr>
          <w:rFonts w:asciiTheme="minorHAnsi" w:hAnsiTheme="minorHAnsi" w:cstheme="minorHAnsi"/>
          <w:i/>
          <w:iCs/>
          <w:sz w:val="22"/>
        </w:rPr>
        <w:tab/>
        <w:t xml:space="preserve">Stanje površinskih voda određuje se na temelju ekološkog i kemijskog stanja tijela ili skupine tijela površinskih voda. </w:t>
      </w:r>
    </w:p>
    <w:p w14:paraId="435383C5" w14:textId="2A36D13F" w:rsidR="00611CF0" w:rsidRPr="005360C3" w:rsidRDefault="00611CF0" w:rsidP="00611CF0">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(2)</w:t>
      </w:r>
      <w:r w:rsidRPr="005360C3">
        <w:rPr>
          <w:rFonts w:asciiTheme="minorHAnsi" w:hAnsiTheme="minorHAnsi" w:cstheme="minorHAnsi"/>
          <w:i/>
          <w:iCs/>
          <w:sz w:val="22"/>
        </w:rPr>
        <w:tab/>
        <w:t xml:space="preserve">Ekološko stanje površinskih voda ocjenjuje se u odnosu na biološke, hidromorfološke te osnovne fiziklano-kemijske elelemente koji prate biološke elemente sukladno Uredbi o standardu </w:t>
      </w:r>
      <w:r w:rsidRPr="005360C3">
        <w:rPr>
          <w:rFonts w:asciiTheme="minorHAnsi" w:hAnsiTheme="minorHAnsi" w:cstheme="minorHAnsi"/>
          <w:i/>
          <w:iCs/>
          <w:sz w:val="22"/>
        </w:rPr>
        <w:lastRenderedPageBreak/>
        <w:t>kakvoće voda.</w:t>
      </w:r>
    </w:p>
    <w:p w14:paraId="75F2FD85" w14:textId="4FBC8E2F" w:rsidR="00611CF0" w:rsidRPr="005360C3" w:rsidRDefault="00611CF0" w:rsidP="00611CF0">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(3)</w:t>
      </w:r>
      <w:r w:rsidRPr="005360C3">
        <w:rPr>
          <w:rFonts w:asciiTheme="minorHAnsi" w:hAnsiTheme="minorHAnsi" w:cstheme="minorHAnsi"/>
          <w:i/>
          <w:iCs/>
          <w:sz w:val="22"/>
        </w:rPr>
        <w:tab/>
        <w:t>Kemijsko stanje površinskih voda ocjenjuje se u odnosu na pokazatelje kemijskog stanja sukladno Uredbi o standardu kakvoće voda.</w:t>
      </w:r>
    </w:p>
    <w:p w14:paraId="05F4D92C" w14:textId="1EE41F14" w:rsidR="00611CF0" w:rsidRPr="005360C3" w:rsidRDefault="00611CF0" w:rsidP="00611CF0">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(4)</w:t>
      </w:r>
      <w:r w:rsidRPr="005360C3">
        <w:rPr>
          <w:rFonts w:asciiTheme="minorHAnsi" w:hAnsiTheme="minorHAnsi" w:cstheme="minorHAnsi"/>
          <w:i/>
          <w:iCs/>
          <w:sz w:val="22"/>
        </w:rPr>
        <w:tab/>
        <w:t>Stanje umjetnih i znatno promijenjenih tijela površinskih voda određuje se na temelju ekološkog potencijala I kemijskog stanja tijela ili skupine tijela.</w:t>
      </w:r>
    </w:p>
    <w:p w14:paraId="1D3C1838" w14:textId="1A726625" w:rsidR="00611CF0" w:rsidRPr="005360C3" w:rsidRDefault="00611CF0" w:rsidP="00611CF0">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(5)</w:t>
      </w:r>
      <w:r w:rsidRPr="005360C3">
        <w:rPr>
          <w:rFonts w:asciiTheme="minorHAnsi" w:hAnsiTheme="minorHAnsi" w:cstheme="minorHAnsi"/>
          <w:i/>
          <w:iCs/>
          <w:sz w:val="22"/>
        </w:rPr>
        <w:tab/>
        <w:t>Tijelo površinske vode razvrstava se na temelju ocjene elemenata kakvoće u kategorije ekološkog stanja: vrlo dobro, dobro, umjereno, lose ili vrlo loše ekološko stanje.</w:t>
      </w:r>
    </w:p>
    <w:p w14:paraId="2579EEC4" w14:textId="3FEF05C1" w:rsidR="00611CF0" w:rsidRPr="005360C3" w:rsidRDefault="00611CF0" w:rsidP="00611CF0">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(6)</w:t>
      </w:r>
      <w:r w:rsidRPr="005360C3">
        <w:rPr>
          <w:rFonts w:asciiTheme="minorHAnsi" w:hAnsiTheme="minorHAnsi" w:cstheme="minorHAnsi"/>
          <w:i/>
          <w:iCs/>
          <w:sz w:val="22"/>
        </w:rPr>
        <w:tab/>
        <w:t>Tijelo površinske vode razvrstava se na temelju rezultata ocjene elemenata kakvoće u kategorije kemijskog stanja I to: dobro kemijsko stanje ili nijep ostignuto dobro kemijsko stanje.“</w:t>
      </w:r>
    </w:p>
    <w:p w14:paraId="45EB219A" w14:textId="77777777" w:rsidR="00611CF0" w:rsidRPr="005360C3" w:rsidRDefault="00611CF0" w:rsidP="0099238C">
      <w:pPr>
        <w:widowControl w:val="0"/>
        <w:autoSpaceDE w:val="0"/>
        <w:autoSpaceDN w:val="0"/>
        <w:spacing w:after="0" w:line="240" w:lineRule="auto"/>
        <w:rPr>
          <w:rFonts w:asciiTheme="minorHAnsi" w:hAnsiTheme="minorHAnsi" w:cstheme="minorHAnsi"/>
          <w:i/>
          <w:iCs/>
          <w:sz w:val="22"/>
        </w:rPr>
      </w:pPr>
    </w:p>
    <w:p w14:paraId="441129C7" w14:textId="77777777" w:rsidR="0044533B" w:rsidRPr="005360C3" w:rsidRDefault="0044533B" w:rsidP="0044533B">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617C98EC" w14:textId="6C02F7D4" w:rsidR="0044533B" w:rsidRPr="005360C3" w:rsidRDefault="0044533B" w:rsidP="0044533B">
      <w:pPr>
        <w:spacing w:line="240" w:lineRule="auto"/>
        <w:rPr>
          <w:rFonts w:asciiTheme="minorHAnsi" w:hAnsiTheme="minorHAnsi" w:cstheme="minorHAnsi"/>
          <w:sz w:val="22"/>
        </w:rPr>
      </w:pPr>
      <w:r w:rsidRPr="005360C3">
        <w:rPr>
          <w:rFonts w:asciiTheme="minorHAnsi" w:hAnsiTheme="minorHAnsi" w:cstheme="minorHAnsi"/>
          <w:sz w:val="22"/>
        </w:rPr>
        <w:t>Članak 223. mijenja se i glasi:</w:t>
      </w:r>
    </w:p>
    <w:p w14:paraId="6600E4C7" w14:textId="1AAD07F5" w:rsidR="0044533B" w:rsidRPr="005360C3" w:rsidRDefault="0044533B" w:rsidP="0044533B">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„Na području Grada Velike Gorice sustav gospodarenja otpadom planira se i provodi u skladu s redom prvenstva gospodarenja otpadom: sprječavanjem nastanka otpada, pripremom za ponovnu uporabu, recikliranjem, drugim postupcima oporabe te konačno zbrinjavanjem (odlaganjem) na Odlagalištu neopasnog otpada Mraclinska Dubrava samo onog otpada koji nije moguće oporabiti na okolišno i ekonomski prihvatljiv način i za koji postoje odgovarajuće dozvole za prihvat na odlagalištu.“</w:t>
      </w:r>
    </w:p>
    <w:p w14:paraId="4DF82786" w14:textId="77777777" w:rsidR="0044533B" w:rsidRPr="005360C3" w:rsidRDefault="0044533B" w:rsidP="0099238C">
      <w:pPr>
        <w:widowControl w:val="0"/>
        <w:autoSpaceDE w:val="0"/>
        <w:autoSpaceDN w:val="0"/>
        <w:spacing w:after="0" w:line="240" w:lineRule="auto"/>
        <w:rPr>
          <w:rFonts w:asciiTheme="minorHAnsi" w:hAnsiTheme="minorHAnsi" w:cstheme="minorHAnsi"/>
          <w:i/>
          <w:iCs/>
          <w:sz w:val="22"/>
        </w:rPr>
      </w:pPr>
    </w:p>
    <w:p w14:paraId="34FFED44" w14:textId="77777777" w:rsidR="0044533B" w:rsidRPr="005360C3" w:rsidRDefault="0044533B" w:rsidP="0044533B">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593E29E9" w14:textId="20F23CB8" w:rsidR="0044533B" w:rsidRPr="005360C3" w:rsidRDefault="0044533B" w:rsidP="0044533B">
      <w:pPr>
        <w:spacing w:line="240" w:lineRule="auto"/>
        <w:rPr>
          <w:rFonts w:asciiTheme="minorHAnsi" w:hAnsiTheme="minorHAnsi" w:cstheme="minorHAnsi"/>
          <w:sz w:val="22"/>
        </w:rPr>
      </w:pPr>
      <w:r w:rsidRPr="005360C3">
        <w:rPr>
          <w:rFonts w:asciiTheme="minorHAnsi" w:hAnsiTheme="minorHAnsi" w:cstheme="minorHAnsi"/>
          <w:sz w:val="22"/>
        </w:rPr>
        <w:t>Članak 225. mijenja se i glasi:</w:t>
      </w:r>
    </w:p>
    <w:p w14:paraId="1B6B27BD" w14:textId="0B4F0E1B" w:rsidR="0044533B" w:rsidRPr="005360C3" w:rsidRDefault="0044533B" w:rsidP="0044533B">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„(1)</w:t>
      </w:r>
      <w:r w:rsidRPr="005360C3">
        <w:rPr>
          <w:rFonts w:asciiTheme="minorHAnsi" w:hAnsiTheme="minorHAnsi" w:cstheme="minorHAnsi"/>
          <w:i/>
          <w:iCs/>
          <w:sz w:val="22"/>
        </w:rPr>
        <w:tab/>
        <w:t xml:space="preserve">Odvojeno prikupljanje komunalnog otpada osigurava se spremnicima na obračunskim mjestima korisnika, spremnicima na javnim površinama kada je to primjenjivo, reciklažnim dvorištima, mobilnim reciklažnim dvorištima, prikupljanjem glomaznog i drugih vrsta otpada na kućnom pragu na zahtjev korisnika i u sklopu akcija prikupljanja te drugim oblicima prikupljanja komunalnog otpada propisanim gradskom odlukom o načinu pružanja javne usluge i posebnim propisima. </w:t>
      </w:r>
    </w:p>
    <w:p w14:paraId="78E03E05" w14:textId="0BE319BC" w:rsidR="0044533B" w:rsidRPr="005360C3" w:rsidRDefault="0044533B" w:rsidP="0044533B">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(2)</w:t>
      </w:r>
      <w:r w:rsidRPr="005360C3">
        <w:rPr>
          <w:rFonts w:asciiTheme="minorHAnsi" w:hAnsiTheme="minorHAnsi" w:cstheme="minorHAnsi"/>
          <w:i/>
          <w:iCs/>
          <w:sz w:val="22"/>
        </w:rPr>
        <w:tab/>
        <w:t>Na lokacijama određenima ovim Planom mogu se graditi, uređivati i opremati građevine za sakupljanje, skladištenje, pretovar, sortiranje, oporabu, obradu i zbrinjavanje otpada, u opsegu i za vrste otpada dopuštene posebnim propisima, odgovarajućim okolišnim aktima, dozvolama za gospodarenje otpadom i prostorno-planskim uvjetima za pojedinu lokaciju.“</w:t>
      </w:r>
    </w:p>
    <w:p w14:paraId="3CFC456B" w14:textId="77777777" w:rsidR="0044533B" w:rsidRPr="005360C3" w:rsidRDefault="0044533B" w:rsidP="0099238C">
      <w:pPr>
        <w:widowControl w:val="0"/>
        <w:autoSpaceDE w:val="0"/>
        <w:autoSpaceDN w:val="0"/>
        <w:spacing w:after="0" w:line="240" w:lineRule="auto"/>
        <w:rPr>
          <w:rFonts w:asciiTheme="minorHAnsi" w:hAnsiTheme="minorHAnsi" w:cstheme="minorHAnsi"/>
          <w:i/>
          <w:iCs/>
          <w:sz w:val="22"/>
        </w:rPr>
      </w:pPr>
    </w:p>
    <w:p w14:paraId="7F1AAAB0" w14:textId="77777777" w:rsidR="0044533B" w:rsidRPr="005360C3" w:rsidRDefault="0044533B" w:rsidP="0044533B">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3D13206B" w14:textId="2E976BA8" w:rsidR="0044533B" w:rsidRPr="005360C3" w:rsidRDefault="0044533B" w:rsidP="0044533B">
      <w:pPr>
        <w:spacing w:line="240" w:lineRule="auto"/>
        <w:rPr>
          <w:rFonts w:asciiTheme="minorHAnsi" w:hAnsiTheme="minorHAnsi" w:cstheme="minorHAnsi"/>
          <w:sz w:val="22"/>
        </w:rPr>
      </w:pPr>
      <w:r w:rsidRPr="005360C3">
        <w:rPr>
          <w:rFonts w:asciiTheme="minorHAnsi" w:hAnsiTheme="minorHAnsi" w:cstheme="minorHAnsi"/>
          <w:sz w:val="22"/>
        </w:rPr>
        <w:t>Članak 226. mijenja se i glasi:</w:t>
      </w:r>
    </w:p>
    <w:p w14:paraId="7A60338B" w14:textId="4ED06395" w:rsidR="0044533B" w:rsidRPr="005360C3" w:rsidRDefault="0044533B" w:rsidP="0044533B">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„(1)</w:t>
      </w:r>
      <w:r w:rsidRPr="005360C3">
        <w:rPr>
          <w:rFonts w:asciiTheme="minorHAnsi" w:hAnsiTheme="minorHAnsi" w:cstheme="minorHAnsi"/>
          <w:i/>
          <w:iCs/>
          <w:sz w:val="22"/>
        </w:rPr>
        <w:tab/>
        <w:t>Osnovu planskog okvira gospodarenja otpadom čine Zakon o gospodarenju otpadom, važeći Plan gospodarenja otpadom Republike Hrvatske, važeći plan gospodarenja otpadom jedinice područne (regionalne) samouprave te posebni propisi iz područja gospodarenja otpadom, koji kao osnovu sustava gospodarenja otpadom Zagrebačke županije predviđaju „Centar za gospodarenje otpadom Zagreb“ (CGO) koji će se nalaziti na području Grada Zagreba.</w:t>
      </w:r>
    </w:p>
    <w:p w14:paraId="57A655A1" w14:textId="2F6E9062" w:rsidR="0044533B" w:rsidRPr="005360C3" w:rsidRDefault="0044533B" w:rsidP="0044533B">
      <w:pPr>
        <w:widowControl w:val="0"/>
        <w:autoSpaceDE w:val="0"/>
        <w:autoSpaceDN w:val="0"/>
        <w:spacing w:after="0" w:line="240" w:lineRule="auto"/>
        <w:rPr>
          <w:rFonts w:asciiTheme="minorHAnsi" w:hAnsiTheme="minorHAnsi" w:cstheme="minorHAnsi"/>
          <w:i/>
          <w:iCs/>
          <w:sz w:val="22"/>
        </w:rPr>
      </w:pPr>
      <w:r w:rsidRPr="005360C3">
        <w:rPr>
          <w:rFonts w:asciiTheme="minorHAnsi" w:hAnsiTheme="minorHAnsi" w:cstheme="minorHAnsi"/>
          <w:i/>
          <w:iCs/>
          <w:sz w:val="22"/>
        </w:rPr>
        <w:t>(2)</w:t>
      </w:r>
      <w:r w:rsidRPr="005360C3">
        <w:rPr>
          <w:rFonts w:asciiTheme="minorHAnsi" w:hAnsiTheme="minorHAnsi" w:cstheme="minorHAnsi"/>
          <w:i/>
          <w:iCs/>
          <w:sz w:val="22"/>
        </w:rPr>
        <w:tab/>
        <w:t>Do uspostave Centra za gospodarenje otpadom Zagreb i drugih odgovarajućih postrojenja u sustavu gospodarenja otpadom, na Odlagalištu neopasnog otpada Mraclinska Dubrava dopušteno je odlaganje otpada koji ispunjava kriterije za prihvat na odlagalište neopasnog otpada, u skladu s važećom dozvolom za gospodarenje otpadom, posebnim propisima i okolišnim aktima.“</w:t>
      </w:r>
    </w:p>
    <w:p w14:paraId="3C3602EA" w14:textId="77777777" w:rsidR="0044533B" w:rsidRPr="005360C3" w:rsidRDefault="0044533B" w:rsidP="0099238C">
      <w:pPr>
        <w:widowControl w:val="0"/>
        <w:autoSpaceDE w:val="0"/>
        <w:autoSpaceDN w:val="0"/>
        <w:spacing w:after="0" w:line="240" w:lineRule="auto"/>
        <w:rPr>
          <w:rFonts w:asciiTheme="minorHAnsi" w:hAnsiTheme="minorHAnsi" w:cstheme="minorHAnsi"/>
          <w:i/>
          <w:iCs/>
          <w:sz w:val="22"/>
        </w:rPr>
      </w:pPr>
    </w:p>
    <w:p w14:paraId="30C31A19" w14:textId="77777777" w:rsidR="0044533B" w:rsidRPr="005360C3" w:rsidRDefault="0044533B" w:rsidP="0044533B">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47CCF8DD" w14:textId="59A60245" w:rsidR="0044533B" w:rsidRPr="005360C3" w:rsidRDefault="0044533B" w:rsidP="0044533B">
      <w:pPr>
        <w:spacing w:line="240" w:lineRule="auto"/>
        <w:rPr>
          <w:rFonts w:asciiTheme="minorHAnsi" w:hAnsiTheme="minorHAnsi" w:cstheme="minorHAnsi"/>
          <w:sz w:val="22"/>
        </w:rPr>
      </w:pPr>
      <w:r w:rsidRPr="005360C3">
        <w:rPr>
          <w:rFonts w:asciiTheme="minorHAnsi" w:hAnsiTheme="minorHAnsi" w:cstheme="minorHAnsi"/>
          <w:sz w:val="22"/>
        </w:rPr>
        <w:t>Dodaje se novi članak 226.a koji glasi:</w:t>
      </w:r>
    </w:p>
    <w:p w14:paraId="7E3AF0C9" w14:textId="3A65330E" w:rsidR="0044533B" w:rsidRPr="005360C3" w:rsidRDefault="001D56B1">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w:t>
      </w:r>
      <w:r w:rsidR="0044533B" w:rsidRPr="005360C3">
        <w:rPr>
          <w:rFonts w:asciiTheme="minorHAnsi" w:hAnsiTheme="minorHAnsi" w:cstheme="minorHAnsi"/>
          <w:i/>
          <w:iCs/>
          <w:sz w:val="22"/>
        </w:rPr>
        <w:t>Površina namijenjena za odlagalište neopasnog otpada Mraclinska Dubrava označena je oznakom IS-O u kartografskom prikazu br. 1 Korištenje i namjena površina u mjerilu 1:25 000.</w:t>
      </w:r>
    </w:p>
    <w:p w14:paraId="3634591D" w14:textId="77777777"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 xml:space="preserve">Proširenje odlagališta planira se kao pripojenje postojećem tijelu odlagališta, s </w:t>
      </w:r>
      <w:r w:rsidRPr="005360C3">
        <w:rPr>
          <w:rFonts w:asciiTheme="minorHAnsi" w:hAnsiTheme="minorHAnsi" w:cstheme="minorHAnsi"/>
          <w:i/>
          <w:iCs/>
          <w:sz w:val="22"/>
        </w:rPr>
        <w:lastRenderedPageBreak/>
        <w:t>mogućnošću fazne realizacije.</w:t>
      </w:r>
    </w:p>
    <w:p w14:paraId="114B7E63" w14:textId="77777777"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Najveća visina tijela odlagališta određuje se u skladu s glavnim projektom i sigurnosnim kriterijima stabilnosti  nasipa.</w:t>
      </w:r>
    </w:p>
    <w:p w14:paraId="183C4F12" w14:textId="77777777"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Obvezna je izgradnja donjeg brtvenog sloja (glina, geosintetici), sustava odvodnje i obrade procjednih voda, sustava odvodnje oborinskih voda te sustava sakupljanja i obrade odlagališnih plinova:</w:t>
      </w:r>
    </w:p>
    <w:p w14:paraId="5CB2145E" w14:textId="77777777" w:rsidR="0044533B" w:rsidRPr="005360C3" w:rsidRDefault="0044533B">
      <w:pPr>
        <w:pStyle w:val="Odlomakpopisa"/>
        <w:widowControl w:val="0"/>
        <w:numPr>
          <w:ilvl w:val="1"/>
          <w:numId w:val="3"/>
        </w:numPr>
        <w:tabs>
          <w:tab w:val="left" w:pos="1774"/>
        </w:tabs>
        <w:autoSpaceDE w:val="0"/>
        <w:autoSpaceDN w:val="0"/>
        <w:spacing w:after="0" w:line="240" w:lineRule="auto"/>
        <w:ind w:right="442"/>
        <w:contextualSpacing w:val="0"/>
        <w:rPr>
          <w:rFonts w:asciiTheme="minorHAnsi" w:hAnsiTheme="minorHAnsi" w:cstheme="minorHAnsi"/>
          <w:i/>
          <w:iCs/>
          <w:sz w:val="22"/>
        </w:rPr>
      </w:pPr>
      <w:r w:rsidRPr="005360C3">
        <w:rPr>
          <w:rFonts w:asciiTheme="minorHAnsi" w:hAnsiTheme="minorHAnsi" w:cstheme="minorHAnsi"/>
          <w:i/>
          <w:iCs/>
          <w:sz w:val="22"/>
        </w:rPr>
        <w:t xml:space="preserve">Procjedne vode moraju se sakupljati odvojeno, odvoditi i obrađivati na uređaju za pročišćavanje procjednih voda odnosno zbrinjavati na način određen vodopravnim aktima, okolišnom dozvolom i dozvolom za gospodarenje otpadom. </w:t>
      </w:r>
    </w:p>
    <w:p w14:paraId="36C44825" w14:textId="77777777" w:rsidR="0044533B" w:rsidRPr="005360C3" w:rsidRDefault="0044533B">
      <w:pPr>
        <w:pStyle w:val="Odlomakpopisa"/>
        <w:widowControl w:val="0"/>
        <w:numPr>
          <w:ilvl w:val="1"/>
          <w:numId w:val="3"/>
        </w:numPr>
        <w:tabs>
          <w:tab w:val="left" w:pos="1774"/>
        </w:tabs>
        <w:autoSpaceDE w:val="0"/>
        <w:autoSpaceDN w:val="0"/>
        <w:spacing w:after="0" w:line="240" w:lineRule="auto"/>
        <w:ind w:right="442"/>
        <w:contextualSpacing w:val="0"/>
        <w:rPr>
          <w:rFonts w:asciiTheme="minorHAnsi" w:hAnsiTheme="minorHAnsi" w:cstheme="minorHAnsi"/>
          <w:i/>
          <w:iCs/>
          <w:sz w:val="22"/>
        </w:rPr>
      </w:pPr>
      <w:r w:rsidRPr="005360C3">
        <w:rPr>
          <w:rFonts w:asciiTheme="minorHAnsi" w:hAnsiTheme="minorHAnsi" w:cstheme="minorHAnsi"/>
          <w:i/>
          <w:iCs/>
          <w:sz w:val="22"/>
        </w:rPr>
        <w:t>Čiste oborinske vode moraju se sakupljati i odvoditi odvojeno od procjednih i potencijalno onečišćenih oborinskih voda. Potencijalno onečišćene oborinske vode s manipulativnih površina moraju se, prije ispuštanja, obraditi sukladno propisima o zaštiti voda.</w:t>
      </w:r>
    </w:p>
    <w:p w14:paraId="23107FCC" w14:textId="77777777" w:rsidR="0044533B" w:rsidRPr="005360C3" w:rsidRDefault="0044533B">
      <w:pPr>
        <w:pStyle w:val="Odlomakpopisa"/>
        <w:widowControl w:val="0"/>
        <w:numPr>
          <w:ilvl w:val="1"/>
          <w:numId w:val="3"/>
        </w:numPr>
        <w:tabs>
          <w:tab w:val="left" w:pos="1774"/>
        </w:tabs>
        <w:autoSpaceDE w:val="0"/>
        <w:autoSpaceDN w:val="0"/>
        <w:spacing w:after="0" w:line="240" w:lineRule="auto"/>
        <w:ind w:right="442"/>
        <w:contextualSpacing w:val="0"/>
        <w:rPr>
          <w:rFonts w:asciiTheme="minorHAnsi" w:hAnsiTheme="minorHAnsi" w:cstheme="minorHAnsi"/>
          <w:i/>
          <w:iCs/>
          <w:sz w:val="22"/>
        </w:rPr>
      </w:pPr>
      <w:r w:rsidRPr="005360C3">
        <w:rPr>
          <w:rFonts w:asciiTheme="minorHAnsi" w:hAnsiTheme="minorHAnsi" w:cstheme="minorHAnsi"/>
          <w:i/>
          <w:iCs/>
          <w:sz w:val="22"/>
        </w:rPr>
        <w:t>Obvezna je ugradnja sustava sakupljanja i obrade odlagališnih plinova.</w:t>
      </w:r>
    </w:p>
    <w:p w14:paraId="4B036C1B" w14:textId="77777777"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Odlagalište mora biti ograđeno i organizirano s kontroliranim ulazom.</w:t>
      </w:r>
    </w:p>
    <w:p w14:paraId="5D572E16" w14:textId="77777777"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 xml:space="preserve">Obvezna je provedba svih mjera zaštite okoliša predviđenih studijom utjecaja na okoliš, elaboratom zaštite okoliša i mišljenjima nadležnih tijela. Potrebno je provoditi zaštitu voda, uključujući kontinuirani monitoring podzemnih voda. Zaštita zraka osigurava se sustavom otplinjavanja, redovitim prekrivanjem otpada inertnim materijalom i obradom plinova. </w:t>
      </w:r>
    </w:p>
    <w:p w14:paraId="748FD981" w14:textId="77777777"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Obvezna je izgradnja zelenog zaštitnog pojasa prema okolnom području, osobito prema naseljima, radi smanjenja utjecaja na krajobraz i sprječavanja raznošenja otpada u okoliš.</w:t>
      </w:r>
    </w:p>
    <w:p w14:paraId="4D98300F" w14:textId="77777777"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Nije dopušteno odlaganje opasnog otpada, osim otpada koji sadrži azbest, koji se prema posebnim propisima može prihvatiti na odlagalište neopasnog otpada, ako je takav otpad obuhvaćen važećom dozvolom za gospodarenje otpadom i ako su ispunjeni svi propisani kriteriji prihvata. Otpad koji sadrži azbest smije se odlagati isključivo na posebno uređenom, označenom, odvojenom i evidentiranom dijelu odlagališta, pod uvjetima propisanim posebnim propisima i izdanim dozvolama.</w:t>
      </w:r>
    </w:p>
    <w:p w14:paraId="62789593" w14:textId="77777777"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Potrebno je provoditi mjere smanjenja buke i prašine tijekom izgradnje i rada odlagališta.</w:t>
      </w:r>
      <w:r w:rsidRPr="005360C3">
        <w:rPr>
          <w:rFonts w:asciiTheme="minorHAnsi" w:hAnsiTheme="minorHAnsi" w:cstheme="minorHAnsi"/>
          <w:i/>
          <w:iCs/>
          <w:sz w:val="22"/>
        </w:rPr>
        <w:br/>
        <w:t>Obvezna je izrada i provođenje Plana intervencija u slučaju akcidenta (požar, istjecanje procjednih voda, eksplozija plina itd.).</w:t>
      </w:r>
    </w:p>
    <w:p w14:paraId="470F1858" w14:textId="77777777"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Zabranjeno je odlaganje otpada koji ne ispunjava propisane kriterije prihvata na odlagalište, otpada za koji je posebnim propisima propisana zabrana odlaganja te otpada koji nije obuhvaćen važećom dozvolom za gospodarenje otpadom.</w:t>
      </w:r>
    </w:p>
    <w:p w14:paraId="2925D00C" w14:textId="77777777"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Nositelj zahvata dužan je provoditi kontinuirani monitoring: zraka, tla, površinskih i podzemnih voda, buke, stabilnosti tijela odlagališta i emisija plinova.</w:t>
      </w:r>
    </w:p>
    <w:p w14:paraId="2AAB1B4D" w14:textId="77777777"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Nakon završetka rada, obvezna je rekultivacija prostora izradom izravnavajućeg sloja, gornjeg brtvenog sloja, nanošenjem sloja tla, prekrivanjem humusom i sadnjom vegetacije. Konačna namjena prostora nakon zatvaranja može biti šuma, zelena površina i/ili površina za sport i rekreaciju, ako je takva namjena dopuštena planom zatvaranja, okolišnim aktima i posebnim propisima te ako ne ugrožava sustave brtvljenja, otplinjavanja, odvodnje i monitoringa odlagališta.</w:t>
      </w:r>
    </w:p>
    <w:p w14:paraId="014322A2" w14:textId="77777777"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Plan zatvaranja i sanacije izrađuje se sukladno Zakonu o gospodarenju otpadom i planovima gospodarenja otpadom RH i Zagrebačke županije.</w:t>
      </w:r>
    </w:p>
    <w:p w14:paraId="0794432C" w14:textId="77777777"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Pristup lokaciji osigurava se postojećom prometnicom koja se od državne ceste D-30 Zagreb–Sisak odvaja kod naselja Buševec i dolazi do lokacije mimo naselja Mraclin.</w:t>
      </w:r>
    </w:p>
    <w:p w14:paraId="5DE1A9CE" w14:textId="77777777"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Unutar odlagališta potrebno je urediti interne prometne i manipulativne površine.</w:t>
      </w:r>
    </w:p>
    <w:p w14:paraId="353C195E" w14:textId="77777777"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 xml:space="preserve">Obvezan je priključak na elektroenergetsku mrežu te je preporučljiva integracija </w:t>
      </w:r>
      <w:r w:rsidRPr="005360C3">
        <w:rPr>
          <w:rFonts w:asciiTheme="minorHAnsi" w:hAnsiTheme="minorHAnsi" w:cstheme="minorHAnsi"/>
          <w:i/>
          <w:iCs/>
          <w:sz w:val="22"/>
        </w:rPr>
        <w:lastRenderedPageBreak/>
        <w:t>obnovljivih izvora energije (npr. solarni paneli).</w:t>
      </w:r>
    </w:p>
    <w:p w14:paraId="5DA5FEEB" w14:textId="77777777"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Planirano proširenje usklađuje se s Rješenjem Zagrebačke županije kojim je isključena mogućnost značajnih negativnih utjecaja na ekološku mrežu.</w:t>
      </w:r>
    </w:p>
    <w:p w14:paraId="44315A0F" w14:textId="77777777"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Proširenje odlagališta nalazi se u koridoru planirane Nove obilaznice Zagreba. S obzirom na prostorna ograničenja, izmicanje trase autceste nije moguće stoga se planira gradnja objekta autoceste preko odlagališta. Radi opimizacije visine planiranog objekta s obzirom na visinu deponiranog otpada, potrebno je da se zaustave sva daljnja deponiranja materijala na dijelu odlagališta Mraclinska Dubrava na kojem je provedena sanacija.</w:t>
      </w:r>
    </w:p>
    <w:p w14:paraId="3458BF60" w14:textId="4C0A9CDA" w:rsidR="0044533B" w:rsidRPr="005360C3" w:rsidRDefault="0044533B">
      <w:pPr>
        <w:pStyle w:val="Odlomakpopisa"/>
        <w:widowControl w:val="0"/>
        <w:numPr>
          <w:ilvl w:val="0"/>
          <w:numId w:val="3"/>
        </w:numPr>
        <w:tabs>
          <w:tab w:val="left" w:pos="1157"/>
        </w:tabs>
        <w:autoSpaceDE w:val="0"/>
        <w:autoSpaceDN w:val="0"/>
        <w:spacing w:after="0" w:line="240" w:lineRule="auto"/>
        <w:ind w:right="433"/>
        <w:contextualSpacing w:val="0"/>
        <w:rPr>
          <w:rFonts w:asciiTheme="minorHAnsi" w:hAnsiTheme="minorHAnsi" w:cstheme="minorHAnsi"/>
          <w:i/>
          <w:iCs/>
          <w:sz w:val="22"/>
        </w:rPr>
      </w:pPr>
      <w:r w:rsidRPr="005360C3">
        <w:rPr>
          <w:rFonts w:asciiTheme="minorHAnsi" w:hAnsiTheme="minorHAnsi" w:cstheme="minorHAnsi"/>
          <w:i/>
          <w:iCs/>
          <w:sz w:val="22"/>
        </w:rPr>
        <w:t>Svi zahvati moraju biti u skladu s važećim zakonodavstvom RH i EU te planovima gospodarenja otpadom.</w:t>
      </w:r>
      <w:r w:rsidRPr="005360C3">
        <w:rPr>
          <w:rFonts w:asciiTheme="minorHAnsi" w:hAnsiTheme="minorHAnsi" w:cstheme="minorHAnsi"/>
          <w:i/>
          <w:iCs/>
          <w:sz w:val="22"/>
        </w:rPr>
        <w:br/>
        <w:t>Svaka daljnja faza realizacije zahtijeva prethodnu procjenu o potrebi provedbe PUO, odnosno provedbu postupka PUO sukladno Uredbi o procjeni utjecaja zahvata na okoliš.</w:t>
      </w:r>
      <w:r w:rsidR="001D56B1" w:rsidRPr="005360C3">
        <w:rPr>
          <w:rFonts w:asciiTheme="minorHAnsi" w:hAnsiTheme="minorHAnsi" w:cstheme="minorHAnsi"/>
          <w:i/>
          <w:iCs/>
          <w:sz w:val="22"/>
        </w:rPr>
        <w:t>“</w:t>
      </w:r>
    </w:p>
    <w:p w14:paraId="5B463DF0" w14:textId="77777777" w:rsidR="0044533B" w:rsidRPr="005360C3" w:rsidRDefault="0044533B" w:rsidP="0099238C">
      <w:pPr>
        <w:widowControl w:val="0"/>
        <w:autoSpaceDE w:val="0"/>
        <w:autoSpaceDN w:val="0"/>
        <w:spacing w:after="0" w:line="240" w:lineRule="auto"/>
        <w:rPr>
          <w:rFonts w:asciiTheme="minorHAnsi" w:hAnsiTheme="minorHAnsi" w:cstheme="minorHAnsi"/>
          <w:i/>
          <w:iCs/>
          <w:sz w:val="22"/>
        </w:rPr>
      </w:pPr>
    </w:p>
    <w:p w14:paraId="453473ED" w14:textId="77777777" w:rsidR="001D56B1" w:rsidRPr="005360C3" w:rsidRDefault="001D56B1" w:rsidP="001D56B1">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08503666" w14:textId="7F95DF61" w:rsidR="001D56B1" w:rsidRPr="005360C3" w:rsidRDefault="00070C0B" w:rsidP="001D56B1">
      <w:pPr>
        <w:spacing w:line="240" w:lineRule="auto"/>
        <w:rPr>
          <w:rFonts w:asciiTheme="minorHAnsi" w:hAnsiTheme="minorHAnsi" w:cstheme="minorHAnsi"/>
          <w:sz w:val="22"/>
        </w:rPr>
      </w:pPr>
      <w:r>
        <w:rPr>
          <w:rFonts w:asciiTheme="minorHAnsi" w:hAnsiTheme="minorHAnsi" w:cstheme="minorHAnsi"/>
          <w:sz w:val="22"/>
        </w:rPr>
        <w:t>Iza članka 233. dodaje se novi naslov i</w:t>
      </w:r>
      <w:r w:rsidR="001D56B1" w:rsidRPr="005360C3">
        <w:rPr>
          <w:rFonts w:asciiTheme="minorHAnsi" w:hAnsiTheme="minorHAnsi" w:cstheme="minorHAnsi"/>
          <w:sz w:val="22"/>
        </w:rPr>
        <w:t xml:space="preserve"> novi članci 233.a – 233.d koji glase:</w:t>
      </w:r>
    </w:p>
    <w:p w14:paraId="2DFD38EB" w14:textId="44CBD5D5" w:rsidR="001D56B1" w:rsidRPr="005360C3" w:rsidRDefault="001D56B1" w:rsidP="001D56B1">
      <w:pPr>
        <w:spacing w:line="240" w:lineRule="auto"/>
        <w:rPr>
          <w:rFonts w:asciiTheme="minorHAnsi" w:hAnsiTheme="minorHAnsi" w:cstheme="minorHAnsi"/>
          <w:i/>
          <w:iCs/>
          <w:sz w:val="22"/>
        </w:rPr>
      </w:pPr>
      <w:r w:rsidRPr="005360C3">
        <w:rPr>
          <w:rFonts w:asciiTheme="minorHAnsi" w:hAnsiTheme="minorHAnsi" w:cstheme="minorHAnsi"/>
          <w:i/>
          <w:iCs/>
          <w:sz w:val="22"/>
        </w:rPr>
        <w:t>„8.A. Mjere ublažavanja i prilagodbe klimatskim promjenama</w:t>
      </w:r>
    </w:p>
    <w:p w14:paraId="6FB3A268" w14:textId="77777777" w:rsidR="001D56B1" w:rsidRPr="005360C3" w:rsidRDefault="001D56B1" w:rsidP="001D56B1">
      <w:pPr>
        <w:ind w:left="567"/>
        <w:rPr>
          <w:rFonts w:asciiTheme="minorHAnsi" w:hAnsiTheme="minorHAnsi" w:cstheme="minorHAnsi"/>
          <w:b/>
          <w:bCs/>
          <w:i/>
          <w:iCs/>
          <w:sz w:val="22"/>
        </w:rPr>
      </w:pPr>
      <w:r w:rsidRPr="005360C3">
        <w:rPr>
          <w:rFonts w:asciiTheme="minorHAnsi" w:hAnsiTheme="minorHAnsi" w:cstheme="minorHAnsi"/>
          <w:b/>
          <w:bCs/>
          <w:i/>
          <w:iCs/>
          <w:sz w:val="22"/>
        </w:rPr>
        <w:t>Članak  233.a</w:t>
      </w:r>
    </w:p>
    <w:p w14:paraId="596A5455"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(1) U svrhu jačanja otpornosti prostora Grada Velike Gorice na klimatske promjene, ovim se Planom omogućuje planiranje i provedba javnih projekata zelene infrastrukture i rješenja temeljenih na prirodi, sukladno važećim propisima i strateškim dokumentima iz područja prilagodbe klimatskim promjenama i razvoja zelene infrastrukture.</w:t>
      </w:r>
    </w:p>
    <w:p w14:paraId="5F323817"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(2) Javni projekti zelene infrastrukture mogu se planirati i provoditi na svim površinama unutar obuhvata ovoga Plana, neovisno o njihovoj planskoj namjeni, pod uvjetom da se time ne mijenja osnovna namjena prostora niti omogućuje izgradnja građevina koje nisu dopuštene sukladno odredbama ovoga Plana i posebnim propisima.</w:t>
      </w:r>
    </w:p>
    <w:p w14:paraId="249EA3D2"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(3) Ako Grad Velika Gorica nije investitor javnog projekta zelene infrastrukture, prije realizacije projekta potrebno je na idejno rješenje ishoditi suglasnost nadležnog upravnog tijela Grada.</w:t>
      </w:r>
    </w:p>
    <w:p w14:paraId="74FF847B" w14:textId="77777777" w:rsidR="001D56B1" w:rsidRPr="005360C3" w:rsidRDefault="001D56B1" w:rsidP="001D56B1">
      <w:pPr>
        <w:ind w:left="567"/>
        <w:rPr>
          <w:rFonts w:asciiTheme="minorHAnsi" w:hAnsiTheme="minorHAnsi" w:cstheme="minorHAnsi"/>
          <w:i/>
          <w:iCs/>
          <w:sz w:val="22"/>
        </w:rPr>
      </w:pPr>
    </w:p>
    <w:p w14:paraId="098A50AF" w14:textId="77777777" w:rsidR="001D56B1" w:rsidRPr="005360C3" w:rsidRDefault="001D56B1" w:rsidP="001D56B1">
      <w:pPr>
        <w:ind w:left="567"/>
        <w:rPr>
          <w:rFonts w:asciiTheme="minorHAnsi" w:hAnsiTheme="minorHAnsi" w:cstheme="minorHAnsi"/>
          <w:b/>
          <w:bCs/>
          <w:i/>
          <w:iCs/>
          <w:sz w:val="22"/>
        </w:rPr>
      </w:pPr>
      <w:r w:rsidRPr="005360C3">
        <w:rPr>
          <w:rFonts w:asciiTheme="minorHAnsi" w:hAnsiTheme="minorHAnsi" w:cstheme="minorHAnsi"/>
          <w:b/>
          <w:bCs/>
          <w:i/>
          <w:iCs/>
          <w:sz w:val="22"/>
        </w:rPr>
        <w:t>Članak 233.b</w:t>
      </w:r>
    </w:p>
    <w:p w14:paraId="1A45EF91"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(1) Razvoj zelene infrastrukture na području Grada Velike Gorice provodi se sukladno važećim strategijama razvoja zelene infrastrukture i zelene urbane obnove Grada Velike Gorice.</w:t>
      </w:r>
    </w:p>
    <w:p w14:paraId="080444AD"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(2) Strategijama iz stavka 1. ovoga članka utvrđuju se ciljevi i mjere za planiranje i sustavno unaprjeđenje zelene infrastrukture i rješenja temeljenih na prirodi te za jačanje otpornosti prostora na klimatske promjene.</w:t>
      </w:r>
    </w:p>
    <w:p w14:paraId="26CB60C3" w14:textId="77777777" w:rsidR="001D56B1" w:rsidRPr="005360C3" w:rsidRDefault="001D56B1" w:rsidP="001D56B1">
      <w:pPr>
        <w:ind w:left="567"/>
        <w:rPr>
          <w:rFonts w:asciiTheme="minorHAnsi" w:hAnsiTheme="minorHAnsi" w:cstheme="minorHAnsi"/>
          <w:i/>
          <w:iCs/>
          <w:sz w:val="22"/>
        </w:rPr>
      </w:pPr>
    </w:p>
    <w:p w14:paraId="634BF05B" w14:textId="77777777" w:rsidR="001D56B1" w:rsidRPr="005360C3" w:rsidRDefault="001D56B1" w:rsidP="001D56B1">
      <w:pPr>
        <w:ind w:left="567"/>
        <w:rPr>
          <w:rFonts w:asciiTheme="minorHAnsi" w:hAnsiTheme="minorHAnsi" w:cstheme="minorHAnsi"/>
          <w:b/>
          <w:bCs/>
          <w:i/>
          <w:iCs/>
          <w:sz w:val="22"/>
        </w:rPr>
      </w:pPr>
      <w:r w:rsidRPr="005360C3">
        <w:rPr>
          <w:rFonts w:asciiTheme="minorHAnsi" w:hAnsiTheme="minorHAnsi" w:cstheme="minorHAnsi"/>
          <w:b/>
          <w:bCs/>
          <w:i/>
          <w:iCs/>
          <w:sz w:val="22"/>
        </w:rPr>
        <w:t>Članak 233.c</w:t>
      </w:r>
    </w:p>
    <w:p w14:paraId="7350B2E4"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(1) Razvoj zelene infrastrukture na području Grada Velike Gorice provodi se osobito kroz sljedeće mjere:</w:t>
      </w:r>
    </w:p>
    <w:p w14:paraId="0DFAD8C0"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povećanje udjela prirodnog terena, ozelenjenih i propusnih površina unutar građevnih čestica</w:t>
      </w:r>
      <w:r w:rsidRPr="005360C3">
        <w:rPr>
          <w:rFonts w:asciiTheme="minorHAnsi" w:hAnsiTheme="minorHAnsi" w:cstheme="minorHAnsi"/>
          <w:i/>
          <w:iCs/>
          <w:sz w:val="22"/>
        </w:rPr>
        <w:br/>
        <w:t>- povećanje prekrivenosti krošnjama stabala i sadnju drvoreda</w:t>
      </w:r>
    </w:p>
    <w:p w14:paraId="6D278EBB"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lastRenderedPageBreak/>
        <w:t>- osiguravanje prostora za sadnju drvoreda i formiranje zelenih pojaseva u koridorima planiranih prometnica</w:t>
      </w:r>
    </w:p>
    <w:p w14:paraId="4ED7360F"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ozelenjavanje parkirališnih površina sadnjom stabala i primjenom propusnih površina</w:t>
      </w:r>
    </w:p>
    <w:p w14:paraId="79EBBAE1" w14:textId="3141B0FF"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planiranje i izvedbu retencijskih i infiltracijskih površina radi zadržavanja oborinskih voda</w:t>
      </w:r>
      <w:r w:rsidRPr="005360C3">
        <w:rPr>
          <w:rFonts w:asciiTheme="minorHAnsi" w:hAnsiTheme="minorHAnsi" w:cstheme="minorHAnsi"/>
          <w:i/>
          <w:iCs/>
          <w:sz w:val="22"/>
        </w:rPr>
        <w:br/>
        <w:t>- planiranje i izvedbu zelenih krovova i zelenih zidova u područjima veće gustoće izgradnje</w:t>
      </w:r>
      <w:r w:rsidRPr="005360C3">
        <w:rPr>
          <w:rFonts w:asciiTheme="minorHAnsi" w:hAnsiTheme="minorHAnsi" w:cstheme="minorHAnsi"/>
          <w:i/>
          <w:iCs/>
          <w:sz w:val="22"/>
        </w:rPr>
        <w:br/>
        <w:t>- regeneraciju, urbanu obnovu i ponovnu uporabu postojećih građevina i brownfield lokacija u skladu s načelima kružnog gospodarenja prostorom.</w:t>
      </w:r>
    </w:p>
    <w:p w14:paraId="636D32DC"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(2) U postupcima planiranja i provedbe zahvata u prostoru osobito se osigurava:</w:t>
      </w:r>
    </w:p>
    <w:p w14:paraId="09DA592A"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očuvanje postojećih šumskih površina, šumskih rubova i živica na poljoprivrednim površinama</w:t>
      </w:r>
      <w:r w:rsidRPr="005360C3">
        <w:rPr>
          <w:rFonts w:asciiTheme="minorHAnsi" w:hAnsiTheme="minorHAnsi" w:cstheme="minorHAnsi"/>
          <w:i/>
          <w:iCs/>
          <w:sz w:val="22"/>
        </w:rPr>
        <w:br/>
        <w:t>- zaštita prirodnih vodotoka, vlažnih livada i travnjaka te drugih vrijednih staništa</w:t>
      </w:r>
      <w:r w:rsidRPr="005360C3">
        <w:rPr>
          <w:rFonts w:asciiTheme="minorHAnsi" w:hAnsiTheme="minorHAnsi" w:cstheme="minorHAnsi"/>
          <w:i/>
          <w:iCs/>
          <w:sz w:val="22"/>
        </w:rPr>
        <w:br/>
        <w:t>- izbjegavanje fragmentacije i degradacije vrijednih krajobraznih i prirodnih područja</w:t>
      </w:r>
      <w:r w:rsidRPr="005360C3">
        <w:rPr>
          <w:rFonts w:asciiTheme="minorHAnsi" w:hAnsiTheme="minorHAnsi" w:cstheme="minorHAnsi"/>
          <w:i/>
          <w:iCs/>
          <w:sz w:val="22"/>
        </w:rPr>
        <w:br/>
        <w:t>- očuvanje cjelovitosti područja ekološke mreže i odabir rješenja koja ne uzrokuju značajan negativan utjecaj na ciljeve očuvanja</w:t>
      </w:r>
    </w:p>
    <w:p w14:paraId="6F451C21" w14:textId="189B4F04"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uspostava i unapređenje zelene infrastrukture i rješenja temeljenih na prirodi sukladno odredbama ovoga Plana.</w:t>
      </w:r>
    </w:p>
    <w:p w14:paraId="495501A5" w14:textId="77777777" w:rsidR="001D56B1" w:rsidRPr="005360C3" w:rsidRDefault="001D56B1" w:rsidP="001D56B1">
      <w:pPr>
        <w:ind w:left="567"/>
        <w:rPr>
          <w:rFonts w:asciiTheme="minorHAnsi" w:hAnsiTheme="minorHAnsi" w:cstheme="minorHAnsi"/>
          <w:i/>
          <w:iCs/>
          <w:sz w:val="22"/>
        </w:rPr>
      </w:pPr>
    </w:p>
    <w:p w14:paraId="5D2CE0E5" w14:textId="77777777" w:rsidR="001D56B1" w:rsidRPr="005360C3" w:rsidRDefault="001D56B1" w:rsidP="001D56B1">
      <w:pPr>
        <w:ind w:left="567"/>
        <w:rPr>
          <w:rFonts w:asciiTheme="minorHAnsi" w:hAnsiTheme="minorHAnsi" w:cstheme="minorHAnsi"/>
          <w:b/>
          <w:bCs/>
          <w:i/>
          <w:iCs/>
          <w:sz w:val="22"/>
        </w:rPr>
      </w:pPr>
      <w:r w:rsidRPr="005360C3">
        <w:rPr>
          <w:rFonts w:asciiTheme="minorHAnsi" w:hAnsiTheme="minorHAnsi" w:cstheme="minorHAnsi"/>
          <w:b/>
          <w:bCs/>
          <w:i/>
          <w:iCs/>
          <w:sz w:val="22"/>
        </w:rPr>
        <w:t>Članak 233.d</w:t>
      </w:r>
    </w:p>
    <w:p w14:paraId="1DBC95BF"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(1) U okviru javnih projekata zelene infrastrukture dopuštena je izgradnja i uređenje građevina, zahvata i opreme u funkciji uspostave, održavanja i korištenja zelene infrastrukture te rješenja temeljenih na prirodi.</w:t>
      </w:r>
    </w:p>
    <w:p w14:paraId="568B085F"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(2) Projekti iz ovoga članka mogu osobito obuhvaćati:</w:t>
      </w:r>
    </w:p>
    <w:p w14:paraId="4D97ABE0"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parkove, perivoje, tematske parkove, urbane šume i druge krajobrazno uređene zelene površine,</w:t>
      </w:r>
      <w:r w:rsidRPr="005360C3">
        <w:rPr>
          <w:rFonts w:asciiTheme="minorHAnsi" w:hAnsiTheme="minorHAnsi" w:cstheme="minorHAnsi"/>
          <w:i/>
          <w:iCs/>
          <w:sz w:val="22"/>
        </w:rPr>
        <w:br/>
        <w:t>- sportsko-rekreacijske površine i prostore za boravak na otvorenom,</w:t>
      </w:r>
    </w:p>
    <w:p w14:paraId="5AAA8585"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travnjake, drvorede, zelene pojaseve i druge elemente urbanog zelenila,</w:t>
      </w:r>
    </w:p>
    <w:p w14:paraId="5CA98296"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urbane vrtove, urbane farme, rasadnike i javne voćnjake,</w:t>
      </w:r>
    </w:p>
    <w:p w14:paraId="5009C436"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zelene površine uz građevine, prometnice i druge infrastrukturne koridore,</w:t>
      </w:r>
    </w:p>
    <w:p w14:paraId="0AC65C8A"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vodotoke, kanale, jezera, ribnjake, retencijske i infiltracijske površine, poplavna područja i urbane močvare,</w:t>
      </w:r>
    </w:p>
    <w:p w14:paraId="6DC12874"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sustave održive urbane odvodnje (kišni vrtovi, bioretencijske površine i sl.),</w:t>
      </w:r>
    </w:p>
    <w:p w14:paraId="23DC4803"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ribnjake, mrijestilišta i druge sustave akvakulture u funkciji očuvanja bioraznolikosti i održivog upravljanja vodnim resursima,</w:t>
      </w:r>
    </w:p>
    <w:p w14:paraId="66C99115" w14:textId="1256B7F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edukacijske, interpretacijske i istraživačke sadržaje u funkciji zaštite prirode i bioraznolikosti,</w:t>
      </w:r>
      <w:r w:rsidRPr="005360C3">
        <w:rPr>
          <w:rFonts w:asciiTheme="minorHAnsi" w:hAnsiTheme="minorHAnsi" w:cstheme="minorHAnsi"/>
          <w:i/>
          <w:iCs/>
          <w:sz w:val="22"/>
        </w:rPr>
        <w:br/>
        <w:t>- druge tipologije zelene infrastrukture.</w:t>
      </w:r>
    </w:p>
    <w:p w14:paraId="2E21C9A4"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(3) Uvjeti smještaja građevina u funkciji javnih projekata zelene infrastrukture iz članka su:</w:t>
      </w:r>
      <w:r w:rsidRPr="005360C3">
        <w:rPr>
          <w:rFonts w:asciiTheme="minorHAnsi" w:hAnsiTheme="minorHAnsi" w:cstheme="minorHAnsi"/>
          <w:i/>
          <w:iCs/>
          <w:sz w:val="22"/>
        </w:rPr>
        <w:br/>
        <w:t>– najveća građevinska bruto površina (GBP) do 300 m² po pojedinoj građevini,</w:t>
      </w:r>
    </w:p>
    <w:p w14:paraId="4F3E6C5E"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najviše jedna nadzemna etaža (prizemlje),</w:t>
      </w:r>
    </w:p>
    <w:p w14:paraId="5DCFC485" w14:textId="265969D9"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lastRenderedPageBreak/>
        <w:t>– najmanje 60 % površine obuhvata zahvata mora biti prirodni teren.</w:t>
      </w:r>
    </w:p>
    <w:p w14:paraId="06B2FFC1"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U građevinama su dopušteni isključivo prateći sadržaji u funkciji korištenja prostora zelene infrastrukture, osobito ugostiteljski, edukacijski, kulturni, sportski i rekreacijski sadržaji, koji ne smiju umanjiti njezinu ekološku i krajobraznu funkciju.</w:t>
      </w:r>
    </w:p>
    <w:p w14:paraId="1C0A55FF"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(4) U okviru projekata iz ovoga članka dopuštena je i izvedba pješačkih i biciklističkih staza, šetnica, odmorišta, parkirališta, urbane opreme, pergola, sjenica, dječjih igrališta te opreme za sport i rekreaciju na otvorenom. Dopušta se i postavljanje privremenih i sezonskih montažnih građevina u funkciji ugostiteljskih, rekreacijskih i kulturnih sadržaja.</w:t>
      </w:r>
    </w:p>
    <w:p w14:paraId="5391EB08"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(5) Projekti iz ovoga članka moraju osigurati očuvanje i povećanje vegetacijskog pokrova, povećanje prekrivenosti krošnjama stabala te jačanje bioraznolikosti i otpornosti prostora na klimatske promjene, uz primjenu propusnih i prirodnih površina u uređenju prostora.</w:t>
      </w:r>
    </w:p>
    <w:p w14:paraId="1FF2721E"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(6) Projekti iz ovoga članka mogu se planirati i provoditi i izvan građevinskih područja naselja ako su u funkciji razvoja zelene infrastrukture i primjene rješenja temeljenih na prirodi, osobito radi zaštite prirode, upravljanja vodama, prilagodbe klimatskim promjenama ili uređenja prostora za javno korištenje, sve sukladno zakonu kojim se uređuje prostorno uređenje.</w:t>
      </w:r>
    </w:p>
    <w:p w14:paraId="3310A511"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(7) U okviru projekata iz ovoga članka uz postojeća jezera dopušta se izgradnja uzgajališta kao tehnološke cjeline koja se može sastojati od mrijestilišta, ribnjaka, uzgojnih instalacija i drugih građevina koje se koriste za uzgoj vodenih organizama. Uzgajališta se mogu izgraditi kao otvoreni i zatvoreni objekti akvakulture.</w:t>
      </w:r>
    </w:p>
    <w:p w14:paraId="4E52BEE6"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Za izgradnju uzgajališta u zatvorenim objektima akvakulture primjenjuju se sljedeći uvjeti:</w:t>
      </w:r>
      <w:r w:rsidRPr="005360C3">
        <w:rPr>
          <w:rFonts w:asciiTheme="minorHAnsi" w:hAnsiTheme="minorHAnsi" w:cstheme="minorHAnsi"/>
          <w:i/>
          <w:iCs/>
          <w:sz w:val="22"/>
        </w:rPr>
        <w:br/>
        <w:t>- minimalna površina građevne čestice iznosi 1.000 m²,</w:t>
      </w:r>
    </w:p>
    <w:p w14:paraId="26103402"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način gradnje građevina je samostojeći,</w:t>
      </w:r>
    </w:p>
    <w:p w14:paraId="233157CF"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na građevnoj čestici, uz osnovnu građevinu akvakulture, dopuštena je gradnja pomoćnih građevina u funkciji obavljanja djelatnosti akvakulture (spremišta, nadstrešnice i sl.) te pratećih sadržaja komplementarnih uzgajalištu, kao što su laboratoriji, prostori za znanstveno istraživanje, edukativni prostori i administrativni prostori,</w:t>
      </w:r>
      <w:r w:rsidRPr="005360C3">
        <w:rPr>
          <w:rFonts w:asciiTheme="minorHAnsi" w:hAnsiTheme="minorHAnsi" w:cstheme="minorHAnsi"/>
          <w:i/>
          <w:iCs/>
          <w:sz w:val="22"/>
        </w:rPr>
        <w:br/>
        <w:t>- najmanje 51 % ukupne građevinske bruto površine (GBP) mora biti u primarnoj funkciji uzgajališta,</w:t>
      </w:r>
    </w:p>
    <w:p w14:paraId="5D8D6E24"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udaljenost građevina od susjedne međe određuje se prema tehnološkim zahtjevima uzgajališta,</w:t>
      </w:r>
      <w:r w:rsidRPr="005360C3">
        <w:rPr>
          <w:rFonts w:asciiTheme="minorHAnsi" w:hAnsiTheme="minorHAnsi" w:cstheme="minorHAnsi"/>
          <w:i/>
          <w:iCs/>
          <w:sz w:val="22"/>
        </w:rPr>
        <w:br/>
        <w:t>- najveći koeficijent izgrađenosti građevne čestice (kig) iznosi 0,3, pri čemu se vanjske uzgojne instalacije (npr. vanjski recirkulacijski bazeni i sl.) ne obračunavaju u kig,</w:t>
      </w:r>
    </w:p>
    <w:p w14:paraId="2099518C" w14:textId="737B5589"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 dopušta se obavljanje djelatnosti akvakulture u zgradama poljoprivredne namjene čija građevinska bruto površina ne prelazi 600 m².</w:t>
      </w:r>
    </w:p>
    <w:p w14:paraId="34DA2F91" w14:textId="77777777" w:rsidR="001D56B1" w:rsidRPr="005360C3" w:rsidRDefault="001D56B1" w:rsidP="001D56B1">
      <w:pPr>
        <w:ind w:left="567"/>
        <w:rPr>
          <w:rFonts w:asciiTheme="minorHAnsi" w:hAnsiTheme="minorHAnsi" w:cstheme="minorHAnsi"/>
          <w:i/>
          <w:iCs/>
          <w:sz w:val="22"/>
        </w:rPr>
      </w:pPr>
      <w:r w:rsidRPr="005360C3">
        <w:rPr>
          <w:rFonts w:asciiTheme="minorHAnsi" w:hAnsiTheme="minorHAnsi" w:cstheme="minorHAnsi"/>
          <w:i/>
          <w:iCs/>
          <w:sz w:val="22"/>
        </w:rPr>
        <w:t>(8) Projekti iz ovoga članka mogu se provoditi neposredno na temelju odredbi ovoga Plana.</w:t>
      </w:r>
    </w:p>
    <w:p w14:paraId="611AF950" w14:textId="772D7D68" w:rsidR="007F21E0" w:rsidRDefault="007F21E0" w:rsidP="001E2DA3">
      <w:pPr>
        <w:pStyle w:val="StandardWeb"/>
        <w:shd w:val="clear" w:color="auto" w:fill="FFFFFF"/>
        <w:spacing w:before="0" w:beforeAutospacing="0" w:after="0" w:afterAutospacing="0"/>
        <w:rPr>
          <w:rFonts w:asciiTheme="minorHAnsi" w:hAnsiTheme="minorHAnsi" w:cstheme="minorHAnsi"/>
          <w:b/>
          <w:sz w:val="22"/>
          <w:szCs w:val="22"/>
        </w:rPr>
      </w:pPr>
    </w:p>
    <w:p w14:paraId="2730FA7D" w14:textId="1D06630E" w:rsidR="00963C08" w:rsidRDefault="00963C08" w:rsidP="001E2DA3">
      <w:pPr>
        <w:pStyle w:val="StandardWeb"/>
        <w:shd w:val="clear" w:color="auto" w:fill="FFFFFF"/>
        <w:spacing w:before="0" w:beforeAutospacing="0" w:after="0" w:afterAutospacing="0"/>
        <w:rPr>
          <w:rFonts w:asciiTheme="minorHAnsi" w:hAnsiTheme="minorHAnsi" w:cstheme="minorHAnsi"/>
          <w:b/>
          <w:sz w:val="22"/>
          <w:szCs w:val="22"/>
        </w:rPr>
      </w:pPr>
    </w:p>
    <w:p w14:paraId="1912DB2B" w14:textId="036EB440" w:rsidR="00963C08" w:rsidRDefault="00963C08" w:rsidP="001E2DA3">
      <w:pPr>
        <w:pStyle w:val="StandardWeb"/>
        <w:shd w:val="clear" w:color="auto" w:fill="FFFFFF"/>
        <w:spacing w:before="0" w:beforeAutospacing="0" w:after="0" w:afterAutospacing="0"/>
        <w:rPr>
          <w:rFonts w:asciiTheme="minorHAnsi" w:hAnsiTheme="minorHAnsi" w:cstheme="minorHAnsi"/>
          <w:b/>
          <w:sz w:val="22"/>
          <w:szCs w:val="22"/>
        </w:rPr>
      </w:pPr>
    </w:p>
    <w:p w14:paraId="4905B47F" w14:textId="7AEA3D48" w:rsidR="00963C08" w:rsidRDefault="00963C08" w:rsidP="001E2DA3">
      <w:pPr>
        <w:pStyle w:val="StandardWeb"/>
        <w:shd w:val="clear" w:color="auto" w:fill="FFFFFF"/>
        <w:spacing w:before="0" w:beforeAutospacing="0" w:after="0" w:afterAutospacing="0"/>
        <w:rPr>
          <w:rFonts w:asciiTheme="minorHAnsi" w:hAnsiTheme="minorHAnsi" w:cstheme="minorHAnsi"/>
          <w:b/>
          <w:sz w:val="22"/>
          <w:szCs w:val="22"/>
        </w:rPr>
      </w:pPr>
    </w:p>
    <w:p w14:paraId="073DE87F" w14:textId="6D0D14FE" w:rsidR="00963C08" w:rsidRDefault="00963C08" w:rsidP="001E2DA3">
      <w:pPr>
        <w:pStyle w:val="StandardWeb"/>
        <w:shd w:val="clear" w:color="auto" w:fill="FFFFFF"/>
        <w:spacing w:before="0" w:beforeAutospacing="0" w:after="0" w:afterAutospacing="0"/>
        <w:rPr>
          <w:rFonts w:asciiTheme="minorHAnsi" w:hAnsiTheme="minorHAnsi" w:cstheme="minorHAnsi"/>
          <w:b/>
          <w:sz w:val="22"/>
          <w:szCs w:val="22"/>
        </w:rPr>
      </w:pPr>
    </w:p>
    <w:p w14:paraId="29EB51B5" w14:textId="77777777" w:rsidR="00963C08" w:rsidRPr="005360C3" w:rsidRDefault="00963C08" w:rsidP="001E2DA3">
      <w:pPr>
        <w:pStyle w:val="StandardWeb"/>
        <w:shd w:val="clear" w:color="auto" w:fill="FFFFFF"/>
        <w:spacing w:before="0" w:beforeAutospacing="0" w:after="0" w:afterAutospacing="0"/>
        <w:rPr>
          <w:rFonts w:asciiTheme="minorHAnsi" w:hAnsiTheme="minorHAnsi" w:cstheme="minorHAnsi"/>
          <w:b/>
          <w:sz w:val="22"/>
          <w:szCs w:val="22"/>
        </w:rPr>
      </w:pPr>
    </w:p>
    <w:p w14:paraId="154E79B8" w14:textId="0CA015AF" w:rsidR="007F21E0" w:rsidRPr="005360C3" w:rsidRDefault="007F21E0" w:rsidP="001E2DA3">
      <w:pPr>
        <w:spacing w:line="240" w:lineRule="auto"/>
        <w:rPr>
          <w:rFonts w:asciiTheme="minorHAnsi" w:hAnsiTheme="minorHAnsi" w:cstheme="minorHAnsi"/>
          <w:b/>
          <w:bCs/>
          <w:sz w:val="22"/>
        </w:rPr>
      </w:pPr>
      <w:r w:rsidRPr="005360C3">
        <w:rPr>
          <w:rFonts w:asciiTheme="minorHAnsi" w:hAnsiTheme="minorHAnsi" w:cstheme="minorHAnsi"/>
          <w:b/>
          <w:bCs/>
          <w:sz w:val="22"/>
        </w:rPr>
        <w:lastRenderedPageBreak/>
        <w:t>III. PRIJELAZNE I ZAVRŠNE ODREDBE</w:t>
      </w:r>
    </w:p>
    <w:p w14:paraId="7C1E9921" w14:textId="77777777" w:rsidR="001E2DA3" w:rsidRPr="005360C3" w:rsidRDefault="001E2DA3" w:rsidP="001E2DA3">
      <w:pPr>
        <w:spacing w:line="240" w:lineRule="auto"/>
        <w:rPr>
          <w:rFonts w:asciiTheme="minorHAnsi" w:hAnsiTheme="minorHAnsi" w:cstheme="minorHAnsi"/>
          <w:b/>
          <w:bCs/>
          <w:sz w:val="22"/>
        </w:rPr>
      </w:pPr>
    </w:p>
    <w:p w14:paraId="5FED7669" w14:textId="77777777" w:rsidR="007F21E0" w:rsidRPr="005360C3" w:rsidRDefault="007F21E0" w:rsidP="00974D5C">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111BD8F8" w14:textId="2741955F" w:rsidR="007F21E0" w:rsidRPr="005360C3" w:rsidRDefault="007F21E0" w:rsidP="001E2DA3">
      <w:pPr>
        <w:spacing w:line="240" w:lineRule="auto"/>
        <w:rPr>
          <w:rFonts w:asciiTheme="minorHAnsi" w:hAnsiTheme="minorHAnsi" w:cstheme="minorHAnsi"/>
          <w:sz w:val="22"/>
        </w:rPr>
      </w:pPr>
      <w:r w:rsidRPr="005360C3">
        <w:rPr>
          <w:rFonts w:asciiTheme="minorHAnsi" w:hAnsiTheme="minorHAnsi" w:cstheme="minorHAnsi"/>
          <w:sz w:val="22"/>
        </w:rPr>
        <w:t>Provedbu i realizaciju postavki V</w:t>
      </w:r>
      <w:r w:rsidR="00EC10D3" w:rsidRPr="005360C3">
        <w:rPr>
          <w:rFonts w:asciiTheme="minorHAnsi" w:hAnsiTheme="minorHAnsi" w:cstheme="minorHAnsi"/>
          <w:sz w:val="22"/>
        </w:rPr>
        <w:t>I</w:t>
      </w:r>
      <w:r w:rsidRPr="005360C3">
        <w:rPr>
          <w:rFonts w:asciiTheme="minorHAnsi" w:hAnsiTheme="minorHAnsi" w:cstheme="minorHAnsi"/>
          <w:sz w:val="22"/>
        </w:rPr>
        <w:t xml:space="preserve">. </w:t>
      </w:r>
      <w:r w:rsidR="00551C72" w:rsidRPr="005360C3">
        <w:rPr>
          <w:rFonts w:asciiTheme="minorHAnsi" w:hAnsiTheme="minorHAnsi" w:cstheme="minorHAnsi"/>
          <w:sz w:val="22"/>
        </w:rPr>
        <w:t>Ciljanih i</w:t>
      </w:r>
      <w:r w:rsidRPr="005360C3">
        <w:rPr>
          <w:rFonts w:asciiTheme="minorHAnsi" w:hAnsiTheme="minorHAnsi" w:cstheme="minorHAnsi"/>
          <w:sz w:val="22"/>
        </w:rPr>
        <w:t xml:space="preserve">zmjena i dopuna Prostornog plana </w:t>
      </w:r>
      <w:r w:rsidR="00551C72" w:rsidRPr="005360C3">
        <w:rPr>
          <w:rFonts w:asciiTheme="minorHAnsi" w:hAnsiTheme="minorHAnsi" w:cstheme="minorHAnsi"/>
          <w:sz w:val="22"/>
        </w:rPr>
        <w:t xml:space="preserve">uređenja </w:t>
      </w:r>
      <w:r w:rsidRPr="005360C3">
        <w:rPr>
          <w:rFonts w:asciiTheme="minorHAnsi" w:hAnsiTheme="minorHAnsi" w:cstheme="minorHAnsi"/>
          <w:sz w:val="22"/>
        </w:rPr>
        <w:t xml:space="preserve">Grada </w:t>
      </w:r>
      <w:r w:rsidR="00A67284" w:rsidRPr="005360C3">
        <w:rPr>
          <w:rFonts w:asciiTheme="minorHAnsi" w:hAnsiTheme="minorHAnsi" w:cstheme="minorHAnsi"/>
          <w:sz w:val="22"/>
        </w:rPr>
        <w:t>Velike Gorice</w:t>
      </w:r>
      <w:r w:rsidRPr="005360C3">
        <w:rPr>
          <w:rFonts w:asciiTheme="minorHAnsi" w:hAnsiTheme="minorHAnsi" w:cstheme="minorHAnsi"/>
          <w:sz w:val="22"/>
        </w:rPr>
        <w:t xml:space="preserve"> operativno će provoditi upravne i stručne službe Grada.</w:t>
      </w:r>
    </w:p>
    <w:p w14:paraId="2F7FA857" w14:textId="77777777" w:rsidR="00043D8F" w:rsidRPr="005360C3" w:rsidRDefault="00043D8F" w:rsidP="00043D8F">
      <w:pPr>
        <w:spacing w:line="240" w:lineRule="auto"/>
        <w:rPr>
          <w:rFonts w:asciiTheme="minorHAnsi" w:hAnsiTheme="minorHAnsi" w:cstheme="minorHAnsi"/>
          <w:sz w:val="22"/>
        </w:rPr>
      </w:pPr>
    </w:p>
    <w:p w14:paraId="1CB09B83" w14:textId="77777777" w:rsidR="007F21E0" w:rsidRPr="005360C3" w:rsidRDefault="007F21E0" w:rsidP="00974D5C">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61C9C173" w14:textId="2A2A0FE3" w:rsidR="007F21E0" w:rsidRPr="005360C3" w:rsidRDefault="007F21E0" w:rsidP="001E2DA3">
      <w:pPr>
        <w:spacing w:line="240" w:lineRule="auto"/>
        <w:rPr>
          <w:rFonts w:asciiTheme="minorHAnsi" w:hAnsiTheme="minorHAnsi" w:cstheme="minorHAnsi"/>
          <w:sz w:val="22"/>
        </w:rPr>
      </w:pPr>
      <w:r w:rsidRPr="005360C3">
        <w:rPr>
          <w:rFonts w:asciiTheme="minorHAnsi" w:hAnsiTheme="minorHAnsi" w:cstheme="minorHAnsi"/>
          <w:sz w:val="22"/>
        </w:rPr>
        <w:t>(1)</w:t>
      </w:r>
      <w:r w:rsidRPr="005360C3">
        <w:rPr>
          <w:rFonts w:asciiTheme="minorHAnsi" w:hAnsiTheme="minorHAnsi" w:cstheme="minorHAnsi"/>
          <w:sz w:val="22"/>
        </w:rPr>
        <w:tab/>
        <w:t>Danom stupanja na snagu V</w:t>
      </w:r>
      <w:r w:rsidR="00EC10D3" w:rsidRPr="005360C3">
        <w:rPr>
          <w:rFonts w:asciiTheme="minorHAnsi" w:hAnsiTheme="minorHAnsi" w:cstheme="minorHAnsi"/>
          <w:sz w:val="22"/>
        </w:rPr>
        <w:t>I</w:t>
      </w:r>
      <w:r w:rsidRPr="005360C3">
        <w:rPr>
          <w:rFonts w:asciiTheme="minorHAnsi" w:hAnsiTheme="minorHAnsi" w:cstheme="minorHAnsi"/>
          <w:sz w:val="22"/>
        </w:rPr>
        <w:t xml:space="preserve">. </w:t>
      </w:r>
      <w:r w:rsidR="00974D5C" w:rsidRPr="005360C3">
        <w:rPr>
          <w:rFonts w:asciiTheme="minorHAnsi" w:hAnsiTheme="minorHAnsi" w:cstheme="minorHAnsi"/>
          <w:sz w:val="22"/>
        </w:rPr>
        <w:t>Ciljanih i</w:t>
      </w:r>
      <w:r w:rsidRPr="005360C3">
        <w:rPr>
          <w:rFonts w:asciiTheme="minorHAnsi" w:hAnsiTheme="minorHAnsi" w:cstheme="minorHAnsi"/>
          <w:sz w:val="22"/>
        </w:rPr>
        <w:t xml:space="preserve">zmjena i dopuna Prostornog plana uređenja Grada </w:t>
      </w:r>
      <w:r w:rsidR="00A67284" w:rsidRPr="005360C3">
        <w:rPr>
          <w:rFonts w:asciiTheme="minorHAnsi" w:hAnsiTheme="minorHAnsi" w:cstheme="minorHAnsi"/>
          <w:sz w:val="22"/>
        </w:rPr>
        <w:t xml:space="preserve">Velike Gorice </w:t>
      </w:r>
      <w:r w:rsidRPr="005360C3">
        <w:rPr>
          <w:rFonts w:asciiTheme="minorHAnsi" w:hAnsiTheme="minorHAnsi" w:cstheme="minorHAnsi"/>
          <w:sz w:val="22"/>
        </w:rPr>
        <w:t xml:space="preserve">prestaju važiti dijelovi Prostornog plana uređenja Grada </w:t>
      </w:r>
      <w:r w:rsidR="00E05C76" w:rsidRPr="005360C3">
        <w:rPr>
          <w:rFonts w:asciiTheme="minorHAnsi" w:hAnsiTheme="minorHAnsi" w:cstheme="minorHAnsi"/>
          <w:sz w:val="22"/>
        </w:rPr>
        <w:t xml:space="preserve">Velike Gorice </w:t>
      </w:r>
      <w:r w:rsidR="00A67284" w:rsidRPr="005360C3">
        <w:rPr>
          <w:rFonts w:asciiTheme="minorHAnsi" w:hAnsiTheme="minorHAnsi" w:cstheme="minorHAnsi"/>
          <w:sz w:val="22"/>
        </w:rPr>
        <w:t>(Službeni glasnik Grada Velike Gorice broj 10/06, 6/08, 5/14, 6/14-Ispravak Odluke, 8/14-pročišćeni tekst, 2/15, 3/15-pročišćeni tekst, 3/23 i 7/23-pročišćeni tekst)</w:t>
      </w:r>
      <w:r w:rsidRPr="005360C3">
        <w:rPr>
          <w:rFonts w:asciiTheme="minorHAnsi" w:hAnsiTheme="minorHAnsi" w:cstheme="minorHAnsi"/>
          <w:sz w:val="22"/>
        </w:rPr>
        <w:t xml:space="preserve">), izmijenjeni ovim Izmjenama i dopunama. </w:t>
      </w:r>
    </w:p>
    <w:p w14:paraId="140F37A4" w14:textId="5D65E45C" w:rsidR="007F21E0" w:rsidRPr="005360C3" w:rsidRDefault="007F21E0" w:rsidP="001E2DA3">
      <w:pPr>
        <w:spacing w:line="240" w:lineRule="auto"/>
        <w:rPr>
          <w:rFonts w:asciiTheme="minorHAnsi" w:hAnsiTheme="minorHAnsi" w:cstheme="minorHAnsi"/>
          <w:sz w:val="22"/>
        </w:rPr>
      </w:pPr>
      <w:r w:rsidRPr="005360C3">
        <w:rPr>
          <w:rFonts w:asciiTheme="minorHAnsi" w:hAnsiTheme="minorHAnsi" w:cstheme="minorHAnsi"/>
          <w:sz w:val="22"/>
        </w:rPr>
        <w:t>(2)</w:t>
      </w:r>
      <w:r w:rsidRPr="005360C3">
        <w:rPr>
          <w:rFonts w:asciiTheme="minorHAnsi" w:hAnsiTheme="minorHAnsi" w:cstheme="minorHAnsi"/>
          <w:sz w:val="22"/>
        </w:rPr>
        <w:tab/>
        <w:t xml:space="preserve">Ove </w:t>
      </w:r>
      <w:r w:rsidR="00270DC9" w:rsidRPr="005360C3">
        <w:rPr>
          <w:rFonts w:asciiTheme="minorHAnsi" w:hAnsiTheme="minorHAnsi" w:cstheme="minorHAnsi"/>
          <w:sz w:val="22"/>
        </w:rPr>
        <w:t>Ciljane i</w:t>
      </w:r>
      <w:r w:rsidRPr="005360C3">
        <w:rPr>
          <w:rFonts w:asciiTheme="minorHAnsi" w:hAnsiTheme="minorHAnsi" w:cstheme="minorHAnsi"/>
          <w:sz w:val="22"/>
        </w:rPr>
        <w:t xml:space="preserve">zmjene i dopune sa neizmijenjenim dijelovima PPUG </w:t>
      </w:r>
      <w:r w:rsidR="00A67284" w:rsidRPr="005360C3">
        <w:rPr>
          <w:rFonts w:asciiTheme="minorHAnsi" w:hAnsiTheme="minorHAnsi" w:cstheme="minorHAnsi"/>
          <w:sz w:val="22"/>
        </w:rPr>
        <w:t>Velike Gorice</w:t>
      </w:r>
      <w:r w:rsidRPr="005360C3">
        <w:rPr>
          <w:rFonts w:asciiTheme="minorHAnsi" w:hAnsiTheme="minorHAnsi" w:cstheme="minorHAnsi"/>
          <w:sz w:val="22"/>
        </w:rPr>
        <w:t xml:space="preserve"> čine cjeloviti prostorno-planski dokument za daljnju provedbu prostornog uređenja i gradnju na prostoru Grada </w:t>
      </w:r>
      <w:r w:rsidR="00A67284" w:rsidRPr="005360C3">
        <w:rPr>
          <w:rFonts w:asciiTheme="minorHAnsi" w:hAnsiTheme="minorHAnsi" w:cstheme="minorHAnsi"/>
          <w:sz w:val="22"/>
        </w:rPr>
        <w:t>Velike Gorice</w:t>
      </w:r>
      <w:r w:rsidRPr="005360C3">
        <w:rPr>
          <w:rFonts w:asciiTheme="minorHAnsi" w:hAnsiTheme="minorHAnsi" w:cstheme="minorHAnsi"/>
          <w:sz w:val="22"/>
        </w:rPr>
        <w:t>.</w:t>
      </w:r>
    </w:p>
    <w:p w14:paraId="7582122D" w14:textId="77777777" w:rsidR="00043D8F" w:rsidRPr="005360C3" w:rsidRDefault="00043D8F" w:rsidP="00043D8F">
      <w:pPr>
        <w:spacing w:line="240" w:lineRule="auto"/>
        <w:rPr>
          <w:rFonts w:asciiTheme="minorHAnsi" w:hAnsiTheme="minorHAnsi" w:cstheme="minorHAnsi"/>
          <w:sz w:val="22"/>
        </w:rPr>
      </w:pPr>
    </w:p>
    <w:p w14:paraId="37654FF8" w14:textId="77777777" w:rsidR="007F21E0" w:rsidRPr="005360C3" w:rsidRDefault="007F21E0" w:rsidP="00043D8F">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1737A646" w14:textId="441F5EEC" w:rsidR="007F21E0" w:rsidRPr="005360C3" w:rsidRDefault="007F21E0" w:rsidP="001E2DA3">
      <w:pPr>
        <w:spacing w:line="240" w:lineRule="auto"/>
        <w:rPr>
          <w:rFonts w:asciiTheme="minorHAnsi" w:hAnsiTheme="minorHAnsi" w:cstheme="minorHAnsi"/>
          <w:sz w:val="22"/>
        </w:rPr>
      </w:pPr>
      <w:r w:rsidRPr="005360C3">
        <w:rPr>
          <w:rFonts w:asciiTheme="minorHAnsi" w:hAnsiTheme="minorHAnsi" w:cstheme="minorHAnsi"/>
          <w:sz w:val="22"/>
        </w:rPr>
        <w:t>Izvornik V</w:t>
      </w:r>
      <w:r w:rsidR="00EC10D3" w:rsidRPr="005360C3">
        <w:rPr>
          <w:rFonts w:asciiTheme="minorHAnsi" w:hAnsiTheme="minorHAnsi" w:cstheme="minorHAnsi"/>
          <w:sz w:val="22"/>
        </w:rPr>
        <w:t>I</w:t>
      </w:r>
      <w:r w:rsidRPr="005360C3">
        <w:rPr>
          <w:rFonts w:asciiTheme="minorHAnsi" w:hAnsiTheme="minorHAnsi" w:cstheme="minorHAnsi"/>
          <w:sz w:val="22"/>
        </w:rPr>
        <w:t xml:space="preserve">. </w:t>
      </w:r>
      <w:r w:rsidR="00270DC9" w:rsidRPr="005360C3">
        <w:rPr>
          <w:rFonts w:asciiTheme="minorHAnsi" w:hAnsiTheme="minorHAnsi" w:cstheme="minorHAnsi"/>
          <w:sz w:val="22"/>
        </w:rPr>
        <w:t>Ciljanih i</w:t>
      </w:r>
      <w:r w:rsidRPr="005360C3">
        <w:rPr>
          <w:rFonts w:asciiTheme="minorHAnsi" w:hAnsiTheme="minorHAnsi" w:cstheme="minorHAnsi"/>
          <w:sz w:val="22"/>
        </w:rPr>
        <w:t xml:space="preserve">zmjena i dopuna Prostornog plana uređenja Grada </w:t>
      </w:r>
      <w:r w:rsidR="00A67284" w:rsidRPr="005360C3">
        <w:rPr>
          <w:rFonts w:asciiTheme="minorHAnsi" w:hAnsiTheme="minorHAnsi" w:cstheme="minorHAnsi"/>
          <w:sz w:val="22"/>
        </w:rPr>
        <w:t>Velike Gorice</w:t>
      </w:r>
      <w:r w:rsidRPr="005360C3">
        <w:rPr>
          <w:rFonts w:asciiTheme="minorHAnsi" w:hAnsiTheme="minorHAnsi" w:cstheme="minorHAnsi"/>
          <w:sz w:val="22"/>
        </w:rPr>
        <w:t xml:space="preserve">, kojeg je donijelo Gradsko vijeće Grada </w:t>
      </w:r>
      <w:r w:rsidR="00A67284" w:rsidRPr="005360C3">
        <w:rPr>
          <w:rFonts w:asciiTheme="minorHAnsi" w:hAnsiTheme="minorHAnsi" w:cstheme="minorHAnsi"/>
          <w:sz w:val="22"/>
        </w:rPr>
        <w:t>Velike Gorice</w:t>
      </w:r>
      <w:r w:rsidRPr="005360C3">
        <w:rPr>
          <w:rFonts w:asciiTheme="minorHAnsi" w:hAnsiTheme="minorHAnsi" w:cstheme="minorHAnsi"/>
          <w:sz w:val="22"/>
        </w:rPr>
        <w:t xml:space="preserve">, potpisano od predsjednika Gradskog vijeća, čuva se u arhivi Grada </w:t>
      </w:r>
      <w:r w:rsidR="00A67284" w:rsidRPr="005360C3">
        <w:rPr>
          <w:rFonts w:asciiTheme="minorHAnsi" w:hAnsiTheme="minorHAnsi" w:cstheme="minorHAnsi"/>
          <w:sz w:val="22"/>
        </w:rPr>
        <w:t>Velike Gorice</w:t>
      </w:r>
      <w:r w:rsidRPr="005360C3">
        <w:rPr>
          <w:rFonts w:asciiTheme="minorHAnsi" w:hAnsiTheme="minorHAnsi" w:cstheme="minorHAnsi"/>
          <w:sz w:val="22"/>
        </w:rPr>
        <w:t xml:space="preserve">, dok se preostali primjerci dostavljaju nadležnom Ministarstvu, Upravnom odjelu za </w:t>
      </w:r>
      <w:r w:rsidR="007A39FB" w:rsidRPr="005360C3">
        <w:rPr>
          <w:rFonts w:asciiTheme="minorHAnsi" w:hAnsiTheme="minorHAnsi" w:cstheme="minorHAnsi"/>
          <w:sz w:val="22"/>
        </w:rPr>
        <w:t xml:space="preserve">prostorno uređenje, graditeljstvo i zaštitu okoliša </w:t>
      </w:r>
      <w:r w:rsidR="00A67284" w:rsidRPr="005360C3">
        <w:rPr>
          <w:rFonts w:asciiTheme="minorHAnsi" w:hAnsiTheme="minorHAnsi" w:cstheme="minorHAnsi"/>
          <w:sz w:val="22"/>
        </w:rPr>
        <w:t>Zagrebačke</w:t>
      </w:r>
      <w:r w:rsidRPr="005360C3">
        <w:rPr>
          <w:rFonts w:asciiTheme="minorHAnsi" w:hAnsiTheme="minorHAnsi" w:cstheme="minorHAnsi"/>
          <w:sz w:val="22"/>
        </w:rPr>
        <w:t xml:space="preserve"> županije i Zavodu za prostorno uređenje </w:t>
      </w:r>
      <w:r w:rsidR="00A67284" w:rsidRPr="005360C3">
        <w:rPr>
          <w:rFonts w:asciiTheme="minorHAnsi" w:hAnsiTheme="minorHAnsi" w:cstheme="minorHAnsi"/>
          <w:sz w:val="22"/>
        </w:rPr>
        <w:t xml:space="preserve">Zagrebačke </w:t>
      </w:r>
      <w:r w:rsidRPr="005360C3">
        <w:rPr>
          <w:rFonts w:asciiTheme="minorHAnsi" w:hAnsiTheme="minorHAnsi" w:cstheme="minorHAnsi"/>
          <w:sz w:val="22"/>
        </w:rPr>
        <w:t xml:space="preserve">županije. </w:t>
      </w:r>
    </w:p>
    <w:p w14:paraId="260EDD6E" w14:textId="77777777" w:rsidR="00043D8F" w:rsidRPr="005360C3" w:rsidRDefault="00043D8F" w:rsidP="00043D8F">
      <w:pPr>
        <w:spacing w:line="240" w:lineRule="auto"/>
        <w:rPr>
          <w:rFonts w:asciiTheme="minorHAnsi" w:hAnsiTheme="minorHAnsi" w:cstheme="minorHAnsi"/>
          <w:sz w:val="22"/>
        </w:rPr>
      </w:pPr>
    </w:p>
    <w:p w14:paraId="44B9B8E2" w14:textId="77777777" w:rsidR="007F21E0" w:rsidRPr="005360C3" w:rsidRDefault="007F21E0" w:rsidP="00043D8F">
      <w:pPr>
        <w:pStyle w:val="StandardWeb"/>
        <w:shd w:val="clear" w:color="auto" w:fill="FFFFFF"/>
        <w:spacing w:before="0" w:beforeAutospacing="0" w:after="120" w:afterAutospacing="0"/>
        <w:jc w:val="center"/>
        <w:rPr>
          <w:rFonts w:asciiTheme="minorHAnsi" w:hAnsiTheme="minorHAnsi" w:cstheme="minorHAnsi"/>
          <w:b/>
          <w:sz w:val="22"/>
          <w:szCs w:val="22"/>
        </w:rPr>
      </w:pPr>
      <w:r w:rsidRPr="005360C3">
        <w:rPr>
          <w:rFonts w:asciiTheme="minorHAnsi" w:hAnsiTheme="minorHAnsi" w:cstheme="minorHAnsi"/>
          <w:b/>
          <w:sz w:val="22"/>
          <w:szCs w:val="22"/>
        </w:rPr>
        <w:t xml:space="preserve">Članak </w:t>
      </w:r>
      <w:r w:rsidRPr="005360C3">
        <w:rPr>
          <w:rFonts w:asciiTheme="minorHAnsi" w:hAnsiTheme="minorHAnsi" w:cstheme="minorHAnsi"/>
          <w:b/>
          <w:sz w:val="22"/>
          <w:szCs w:val="22"/>
        </w:rPr>
        <w:fldChar w:fldCharType="begin"/>
      </w:r>
      <w:r w:rsidRPr="005360C3">
        <w:rPr>
          <w:rFonts w:asciiTheme="minorHAnsi" w:hAnsiTheme="minorHAnsi" w:cstheme="minorHAnsi"/>
          <w:b/>
          <w:sz w:val="22"/>
          <w:szCs w:val="22"/>
        </w:rPr>
        <w:instrText xml:space="preserve"> AUTONUM  \* Arabic </w:instrText>
      </w:r>
      <w:r w:rsidRPr="005360C3">
        <w:rPr>
          <w:rFonts w:asciiTheme="minorHAnsi" w:hAnsiTheme="minorHAnsi" w:cstheme="minorHAnsi"/>
          <w:b/>
          <w:sz w:val="22"/>
          <w:szCs w:val="22"/>
        </w:rPr>
        <w:fldChar w:fldCharType="end"/>
      </w:r>
    </w:p>
    <w:p w14:paraId="64F3A406" w14:textId="6872AFDD" w:rsidR="007F21E0" w:rsidRPr="005360C3" w:rsidRDefault="007F21E0" w:rsidP="007F21E0">
      <w:pPr>
        <w:rPr>
          <w:rFonts w:asciiTheme="minorHAnsi" w:hAnsiTheme="minorHAnsi" w:cstheme="minorHAnsi"/>
          <w:sz w:val="22"/>
        </w:rPr>
      </w:pPr>
      <w:r w:rsidRPr="005360C3">
        <w:rPr>
          <w:rFonts w:asciiTheme="minorHAnsi" w:hAnsiTheme="minorHAnsi" w:cstheme="minorHAnsi"/>
          <w:sz w:val="22"/>
        </w:rPr>
        <w:t xml:space="preserve">Ova Odluka stupa na snagu osmoga dana od dana objave u </w:t>
      </w:r>
      <w:r w:rsidR="00A67284" w:rsidRPr="005360C3">
        <w:rPr>
          <w:rFonts w:asciiTheme="minorHAnsi" w:hAnsiTheme="minorHAnsi" w:cstheme="minorHAnsi"/>
          <w:sz w:val="22"/>
        </w:rPr>
        <w:t>Službenom glasniku Grada Velike Gorice</w:t>
      </w:r>
      <w:r w:rsidRPr="005360C3">
        <w:rPr>
          <w:rFonts w:asciiTheme="minorHAnsi" w:hAnsiTheme="minorHAnsi" w:cstheme="minorHAnsi"/>
          <w:sz w:val="22"/>
        </w:rPr>
        <w:t xml:space="preserve">. </w:t>
      </w:r>
    </w:p>
    <w:p w14:paraId="4B722853" w14:textId="77777777" w:rsidR="00043D8F" w:rsidRPr="005360C3" w:rsidRDefault="00043D8F" w:rsidP="007F21E0">
      <w:pPr>
        <w:rPr>
          <w:rFonts w:asciiTheme="minorHAnsi" w:hAnsiTheme="minorHAnsi" w:cstheme="minorHAnsi"/>
          <w:sz w:val="22"/>
        </w:rPr>
      </w:pPr>
    </w:p>
    <w:p w14:paraId="63ADBA18" w14:textId="77777777" w:rsidR="007F21E0" w:rsidRPr="005360C3" w:rsidRDefault="007F21E0" w:rsidP="007F21E0">
      <w:pPr>
        <w:spacing w:line="300" w:lineRule="exact"/>
        <w:rPr>
          <w:rFonts w:asciiTheme="minorHAnsi" w:eastAsia="Arial Unicode MS" w:hAnsiTheme="minorHAnsi" w:cstheme="minorHAnsi"/>
          <w:b/>
          <w:bCs/>
          <w:sz w:val="22"/>
        </w:rPr>
      </w:pPr>
    </w:p>
    <w:p w14:paraId="1AC916B1" w14:textId="38BCDF09" w:rsidR="007F21E0" w:rsidRPr="005360C3" w:rsidRDefault="007F21E0" w:rsidP="00270DC9">
      <w:pPr>
        <w:ind w:left="4963" w:firstLine="709"/>
        <w:jc w:val="center"/>
        <w:rPr>
          <w:rFonts w:asciiTheme="minorHAnsi" w:hAnsiTheme="minorHAnsi" w:cstheme="minorHAnsi"/>
          <w:b/>
          <w:bCs/>
          <w:sz w:val="22"/>
        </w:rPr>
      </w:pPr>
      <w:r w:rsidRPr="005360C3">
        <w:rPr>
          <w:rFonts w:asciiTheme="minorHAnsi" w:hAnsiTheme="minorHAnsi" w:cstheme="minorHAnsi"/>
          <w:b/>
          <w:bCs/>
          <w:sz w:val="22"/>
        </w:rPr>
        <w:t>Predsjednik Gradskog vijeća</w:t>
      </w:r>
    </w:p>
    <w:p w14:paraId="40C534E9" w14:textId="7C51AC38" w:rsidR="005360C3" w:rsidRPr="005360C3" w:rsidRDefault="005360C3" w:rsidP="00270DC9">
      <w:pPr>
        <w:ind w:left="4963" w:firstLine="709"/>
        <w:jc w:val="center"/>
        <w:rPr>
          <w:rFonts w:asciiTheme="minorHAnsi" w:hAnsiTheme="minorHAnsi" w:cstheme="minorHAnsi"/>
          <w:b/>
          <w:bCs/>
          <w:sz w:val="22"/>
        </w:rPr>
      </w:pPr>
      <w:r w:rsidRPr="005360C3">
        <w:rPr>
          <w:rFonts w:asciiTheme="minorHAnsi" w:hAnsiTheme="minorHAnsi" w:cstheme="minorHAnsi"/>
          <w:b/>
          <w:bCs/>
          <w:sz w:val="22"/>
        </w:rPr>
        <w:t xml:space="preserve">Darko Bekić, </w:t>
      </w:r>
      <w:proofErr w:type="spellStart"/>
      <w:r w:rsidRPr="005360C3">
        <w:rPr>
          <w:rFonts w:asciiTheme="minorHAnsi" w:hAnsiTheme="minorHAnsi" w:cstheme="minorHAnsi"/>
          <w:b/>
          <w:bCs/>
          <w:sz w:val="22"/>
        </w:rPr>
        <w:t>univ.spec.pol</w:t>
      </w:r>
      <w:proofErr w:type="spellEnd"/>
      <w:r w:rsidRPr="005360C3">
        <w:rPr>
          <w:rFonts w:asciiTheme="minorHAnsi" w:hAnsiTheme="minorHAnsi" w:cstheme="minorHAnsi"/>
          <w:b/>
          <w:bCs/>
          <w:sz w:val="22"/>
        </w:rPr>
        <w:t>.</w:t>
      </w:r>
    </w:p>
    <w:p w14:paraId="7A24F0ED" w14:textId="01C4FBB3" w:rsidR="000442CD" w:rsidRPr="005360C3" w:rsidRDefault="000442CD" w:rsidP="000442CD">
      <w:pPr>
        <w:spacing w:after="0"/>
        <w:rPr>
          <w:rFonts w:asciiTheme="minorHAnsi" w:hAnsiTheme="minorHAnsi" w:cstheme="minorHAnsi"/>
          <w:sz w:val="22"/>
        </w:rPr>
      </w:pPr>
    </w:p>
    <w:sectPr w:rsidR="000442CD" w:rsidRPr="005360C3" w:rsidSect="00075E4E">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0902B" w14:textId="77777777" w:rsidR="006F63E8" w:rsidRDefault="006F63E8" w:rsidP="00A83FF9">
      <w:pPr>
        <w:spacing w:after="0" w:line="240" w:lineRule="auto"/>
      </w:pPr>
      <w:r>
        <w:separator/>
      </w:r>
    </w:p>
  </w:endnote>
  <w:endnote w:type="continuationSeparator" w:id="0">
    <w:p w14:paraId="1DC4D8DA" w14:textId="77777777" w:rsidR="006F63E8" w:rsidRDefault="006F63E8" w:rsidP="00A83F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9764102"/>
      <w:docPartObj>
        <w:docPartGallery w:val="Page Numbers (Bottom of Page)"/>
        <w:docPartUnique/>
      </w:docPartObj>
    </w:sdtPr>
    <w:sdtEndPr/>
    <w:sdtContent>
      <w:p w14:paraId="238E8CB7" w14:textId="592B4E05" w:rsidR="004D7A14" w:rsidRDefault="004D7A14">
        <w:pPr>
          <w:pStyle w:val="Podnoje"/>
          <w:jc w:val="right"/>
        </w:pPr>
        <w:r>
          <w:fldChar w:fldCharType="begin"/>
        </w:r>
        <w:r>
          <w:instrText>PAGE   \* MERGEFORMAT</w:instrText>
        </w:r>
        <w:r>
          <w:fldChar w:fldCharType="separate"/>
        </w:r>
        <w:r>
          <w:t>2</w:t>
        </w:r>
        <w:r>
          <w:fldChar w:fldCharType="end"/>
        </w:r>
      </w:p>
    </w:sdtContent>
  </w:sdt>
  <w:p w14:paraId="2F4F9C2C" w14:textId="77777777" w:rsidR="004D7A14" w:rsidRDefault="004D7A1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0BB64" w14:textId="77777777" w:rsidR="006F63E8" w:rsidRDefault="006F63E8" w:rsidP="00A83FF9">
      <w:pPr>
        <w:spacing w:after="0" w:line="240" w:lineRule="auto"/>
      </w:pPr>
      <w:r>
        <w:separator/>
      </w:r>
    </w:p>
  </w:footnote>
  <w:footnote w:type="continuationSeparator" w:id="0">
    <w:p w14:paraId="1D4B8FC9" w14:textId="77777777" w:rsidR="006F63E8" w:rsidRDefault="006F63E8" w:rsidP="00A83F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B71BB"/>
    <w:multiLevelType w:val="hybridMultilevel"/>
    <w:tmpl w:val="4C0AA980"/>
    <w:lvl w:ilvl="0" w:tplc="C512E1E2">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 w15:restartNumberingAfterBreak="0">
    <w:nsid w:val="270E7EF8"/>
    <w:multiLevelType w:val="hybridMultilevel"/>
    <w:tmpl w:val="A9500EA8"/>
    <w:lvl w:ilvl="0" w:tplc="C160F4A0">
      <w:numFmt w:val="bullet"/>
      <w:lvlText w:val=""/>
      <w:lvlJc w:val="left"/>
      <w:pPr>
        <w:ind w:left="796" w:hanging="360"/>
      </w:pPr>
      <w:rPr>
        <w:rFonts w:ascii="Symbol" w:eastAsia="Symbol" w:hAnsi="Symbol" w:cs="Symbol" w:hint="default"/>
        <w:w w:val="99"/>
        <w:sz w:val="20"/>
        <w:szCs w:val="20"/>
        <w:lang w:val="hr-HR" w:eastAsia="hr-HR" w:bidi="hr-HR"/>
      </w:rPr>
    </w:lvl>
    <w:lvl w:ilvl="1" w:tplc="4B1E3B7C">
      <w:numFmt w:val="bullet"/>
      <w:lvlText w:val=""/>
      <w:lvlJc w:val="left"/>
      <w:pPr>
        <w:ind w:left="1156" w:hanging="360"/>
      </w:pPr>
      <w:rPr>
        <w:rFonts w:ascii="Symbol" w:eastAsia="Symbol" w:hAnsi="Symbol" w:cs="Symbol" w:hint="default"/>
        <w:w w:val="99"/>
        <w:sz w:val="20"/>
        <w:szCs w:val="20"/>
        <w:lang w:val="hr-HR" w:eastAsia="hr-HR" w:bidi="hr-HR"/>
      </w:rPr>
    </w:lvl>
    <w:lvl w:ilvl="2" w:tplc="94E6CECC">
      <w:numFmt w:val="bullet"/>
      <w:lvlText w:val="•"/>
      <w:lvlJc w:val="left"/>
      <w:pPr>
        <w:ind w:left="2136" w:hanging="360"/>
      </w:pPr>
      <w:rPr>
        <w:rFonts w:hint="default"/>
        <w:lang w:val="hr-HR" w:eastAsia="hr-HR" w:bidi="hr-HR"/>
      </w:rPr>
    </w:lvl>
    <w:lvl w:ilvl="3" w:tplc="0FD26D68">
      <w:numFmt w:val="bullet"/>
      <w:lvlText w:val="•"/>
      <w:lvlJc w:val="left"/>
      <w:pPr>
        <w:ind w:left="3112" w:hanging="360"/>
      </w:pPr>
      <w:rPr>
        <w:rFonts w:hint="default"/>
        <w:lang w:val="hr-HR" w:eastAsia="hr-HR" w:bidi="hr-HR"/>
      </w:rPr>
    </w:lvl>
    <w:lvl w:ilvl="4" w:tplc="CCBE3214">
      <w:numFmt w:val="bullet"/>
      <w:lvlText w:val="•"/>
      <w:lvlJc w:val="left"/>
      <w:pPr>
        <w:ind w:left="4088" w:hanging="360"/>
      </w:pPr>
      <w:rPr>
        <w:rFonts w:hint="default"/>
        <w:lang w:val="hr-HR" w:eastAsia="hr-HR" w:bidi="hr-HR"/>
      </w:rPr>
    </w:lvl>
    <w:lvl w:ilvl="5" w:tplc="88CC9138">
      <w:numFmt w:val="bullet"/>
      <w:lvlText w:val="•"/>
      <w:lvlJc w:val="left"/>
      <w:pPr>
        <w:ind w:left="5065" w:hanging="360"/>
      </w:pPr>
      <w:rPr>
        <w:rFonts w:hint="default"/>
        <w:lang w:val="hr-HR" w:eastAsia="hr-HR" w:bidi="hr-HR"/>
      </w:rPr>
    </w:lvl>
    <w:lvl w:ilvl="6" w:tplc="88D6F954">
      <w:numFmt w:val="bullet"/>
      <w:lvlText w:val="•"/>
      <w:lvlJc w:val="left"/>
      <w:pPr>
        <w:ind w:left="6041" w:hanging="360"/>
      </w:pPr>
      <w:rPr>
        <w:rFonts w:hint="default"/>
        <w:lang w:val="hr-HR" w:eastAsia="hr-HR" w:bidi="hr-HR"/>
      </w:rPr>
    </w:lvl>
    <w:lvl w:ilvl="7" w:tplc="B4FCD4FC">
      <w:numFmt w:val="bullet"/>
      <w:lvlText w:val="•"/>
      <w:lvlJc w:val="left"/>
      <w:pPr>
        <w:ind w:left="7017" w:hanging="360"/>
      </w:pPr>
      <w:rPr>
        <w:rFonts w:hint="default"/>
        <w:lang w:val="hr-HR" w:eastAsia="hr-HR" w:bidi="hr-HR"/>
      </w:rPr>
    </w:lvl>
    <w:lvl w:ilvl="8" w:tplc="4CB2DF20">
      <w:numFmt w:val="bullet"/>
      <w:lvlText w:val="•"/>
      <w:lvlJc w:val="left"/>
      <w:pPr>
        <w:ind w:left="7993" w:hanging="360"/>
      </w:pPr>
      <w:rPr>
        <w:rFonts w:hint="default"/>
        <w:lang w:val="hr-HR" w:eastAsia="hr-HR" w:bidi="hr-HR"/>
      </w:rPr>
    </w:lvl>
  </w:abstractNum>
  <w:abstractNum w:abstractNumId="2" w15:restartNumberingAfterBreak="0">
    <w:nsid w:val="7ABB3A24"/>
    <w:multiLevelType w:val="hybridMultilevel"/>
    <w:tmpl w:val="A3E064F0"/>
    <w:lvl w:ilvl="0" w:tplc="E6561D30">
      <w:start w:val="1"/>
      <w:numFmt w:val="decimal"/>
      <w:lvlText w:val="(%1)"/>
      <w:lvlJc w:val="left"/>
      <w:pPr>
        <w:ind w:left="1156" w:hanging="360"/>
      </w:pPr>
      <w:rPr>
        <w:rFonts w:ascii="Arial Narrow" w:eastAsia="Arial Narrow" w:hAnsi="Arial Narrow" w:cs="Arial Narrow" w:hint="default"/>
        <w:color w:val="auto"/>
        <w:spacing w:val="-28"/>
        <w:w w:val="100"/>
        <w:sz w:val="24"/>
        <w:szCs w:val="24"/>
        <w:lang w:val="hr-HR" w:eastAsia="hr-HR" w:bidi="hr-HR"/>
      </w:rPr>
    </w:lvl>
    <w:lvl w:ilvl="1" w:tplc="FFFFFFFF">
      <w:numFmt w:val="bullet"/>
      <w:lvlText w:val=""/>
      <w:lvlJc w:val="left"/>
      <w:pPr>
        <w:ind w:left="1504" w:hanging="360"/>
      </w:pPr>
      <w:rPr>
        <w:rFonts w:ascii="Wingdings" w:eastAsia="Wingdings" w:hAnsi="Wingdings" w:cs="Wingdings" w:hint="default"/>
        <w:w w:val="100"/>
        <w:sz w:val="24"/>
        <w:szCs w:val="24"/>
        <w:lang w:val="hr-HR" w:eastAsia="hr-HR" w:bidi="hr-HR"/>
      </w:rPr>
    </w:lvl>
    <w:lvl w:ilvl="2" w:tplc="FFFFFFFF">
      <w:numFmt w:val="bullet"/>
      <w:lvlText w:val="•"/>
      <w:lvlJc w:val="left"/>
      <w:pPr>
        <w:ind w:left="2438" w:hanging="360"/>
      </w:pPr>
      <w:rPr>
        <w:rFonts w:hint="default"/>
        <w:lang w:val="hr-HR" w:eastAsia="hr-HR" w:bidi="hr-HR"/>
      </w:rPr>
    </w:lvl>
    <w:lvl w:ilvl="3" w:tplc="FFFFFFFF">
      <w:numFmt w:val="bullet"/>
      <w:lvlText w:val="•"/>
      <w:lvlJc w:val="left"/>
      <w:pPr>
        <w:ind w:left="3376" w:hanging="360"/>
      </w:pPr>
      <w:rPr>
        <w:rFonts w:hint="default"/>
        <w:lang w:val="hr-HR" w:eastAsia="hr-HR" w:bidi="hr-HR"/>
      </w:rPr>
    </w:lvl>
    <w:lvl w:ilvl="4" w:tplc="FFFFFFFF">
      <w:numFmt w:val="bullet"/>
      <w:lvlText w:val="•"/>
      <w:lvlJc w:val="left"/>
      <w:pPr>
        <w:ind w:left="4315" w:hanging="360"/>
      </w:pPr>
      <w:rPr>
        <w:rFonts w:hint="default"/>
        <w:lang w:val="hr-HR" w:eastAsia="hr-HR" w:bidi="hr-HR"/>
      </w:rPr>
    </w:lvl>
    <w:lvl w:ilvl="5" w:tplc="FFFFFFFF">
      <w:numFmt w:val="bullet"/>
      <w:lvlText w:val="•"/>
      <w:lvlJc w:val="left"/>
      <w:pPr>
        <w:ind w:left="5253" w:hanging="360"/>
      </w:pPr>
      <w:rPr>
        <w:rFonts w:hint="default"/>
        <w:lang w:val="hr-HR" w:eastAsia="hr-HR" w:bidi="hr-HR"/>
      </w:rPr>
    </w:lvl>
    <w:lvl w:ilvl="6" w:tplc="FFFFFFFF">
      <w:numFmt w:val="bullet"/>
      <w:lvlText w:val="•"/>
      <w:lvlJc w:val="left"/>
      <w:pPr>
        <w:ind w:left="6192" w:hanging="360"/>
      </w:pPr>
      <w:rPr>
        <w:rFonts w:hint="default"/>
        <w:lang w:val="hr-HR" w:eastAsia="hr-HR" w:bidi="hr-HR"/>
      </w:rPr>
    </w:lvl>
    <w:lvl w:ilvl="7" w:tplc="FFFFFFFF">
      <w:numFmt w:val="bullet"/>
      <w:lvlText w:val="•"/>
      <w:lvlJc w:val="left"/>
      <w:pPr>
        <w:ind w:left="7130" w:hanging="360"/>
      </w:pPr>
      <w:rPr>
        <w:rFonts w:hint="default"/>
        <w:lang w:val="hr-HR" w:eastAsia="hr-HR" w:bidi="hr-HR"/>
      </w:rPr>
    </w:lvl>
    <w:lvl w:ilvl="8" w:tplc="FFFFFFFF">
      <w:numFmt w:val="bullet"/>
      <w:lvlText w:val="•"/>
      <w:lvlJc w:val="left"/>
      <w:pPr>
        <w:ind w:left="8069" w:hanging="360"/>
      </w:pPr>
      <w:rPr>
        <w:rFonts w:hint="default"/>
        <w:lang w:val="hr-HR" w:eastAsia="hr-HR" w:bidi="hr-HR"/>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C21"/>
    <w:rsid w:val="000101FD"/>
    <w:rsid w:val="00014DDB"/>
    <w:rsid w:val="00022DEA"/>
    <w:rsid w:val="000421B5"/>
    <w:rsid w:val="00043D8F"/>
    <w:rsid w:val="000442CD"/>
    <w:rsid w:val="000678C8"/>
    <w:rsid w:val="00070C0B"/>
    <w:rsid w:val="00075E4E"/>
    <w:rsid w:val="00080A8C"/>
    <w:rsid w:val="0009227A"/>
    <w:rsid w:val="000B1FB0"/>
    <w:rsid w:val="00122F69"/>
    <w:rsid w:val="001735D2"/>
    <w:rsid w:val="00191C1E"/>
    <w:rsid w:val="001A4AA5"/>
    <w:rsid w:val="001D56B1"/>
    <w:rsid w:val="001E2DA3"/>
    <w:rsid w:val="002155D2"/>
    <w:rsid w:val="002501CA"/>
    <w:rsid w:val="00270DC9"/>
    <w:rsid w:val="0027677A"/>
    <w:rsid w:val="002A223E"/>
    <w:rsid w:val="002C1E3F"/>
    <w:rsid w:val="002D780E"/>
    <w:rsid w:val="002E5DC7"/>
    <w:rsid w:val="002E676E"/>
    <w:rsid w:val="003C3A19"/>
    <w:rsid w:val="0041575E"/>
    <w:rsid w:val="0042685A"/>
    <w:rsid w:val="00444BA6"/>
    <w:rsid w:val="0044533B"/>
    <w:rsid w:val="00487B9A"/>
    <w:rsid w:val="004D7A14"/>
    <w:rsid w:val="004E2259"/>
    <w:rsid w:val="004F741D"/>
    <w:rsid w:val="00503914"/>
    <w:rsid w:val="00530DD1"/>
    <w:rsid w:val="005360C3"/>
    <w:rsid w:val="00551C72"/>
    <w:rsid w:val="005A597F"/>
    <w:rsid w:val="005C6022"/>
    <w:rsid w:val="005E5C8F"/>
    <w:rsid w:val="00611CF0"/>
    <w:rsid w:val="00622D9E"/>
    <w:rsid w:val="00684EF5"/>
    <w:rsid w:val="006A5F3B"/>
    <w:rsid w:val="006B22E7"/>
    <w:rsid w:val="006B3B9B"/>
    <w:rsid w:val="006E1865"/>
    <w:rsid w:val="006F17F9"/>
    <w:rsid w:val="006F63E8"/>
    <w:rsid w:val="00717F6B"/>
    <w:rsid w:val="007300DF"/>
    <w:rsid w:val="00794967"/>
    <w:rsid w:val="007A39FB"/>
    <w:rsid w:val="007B1958"/>
    <w:rsid w:val="007F21E0"/>
    <w:rsid w:val="007F349E"/>
    <w:rsid w:val="008049A7"/>
    <w:rsid w:val="008B74CC"/>
    <w:rsid w:val="008C4270"/>
    <w:rsid w:val="00963C08"/>
    <w:rsid w:val="00974D5C"/>
    <w:rsid w:val="0099238C"/>
    <w:rsid w:val="009D1AFB"/>
    <w:rsid w:val="009E0153"/>
    <w:rsid w:val="009F0DA1"/>
    <w:rsid w:val="00A26C73"/>
    <w:rsid w:val="00A446AA"/>
    <w:rsid w:val="00A67284"/>
    <w:rsid w:val="00A83FF9"/>
    <w:rsid w:val="00AA48E6"/>
    <w:rsid w:val="00AC5FA3"/>
    <w:rsid w:val="00AC6172"/>
    <w:rsid w:val="00B01BEF"/>
    <w:rsid w:val="00B6564D"/>
    <w:rsid w:val="00B80811"/>
    <w:rsid w:val="00BD0E07"/>
    <w:rsid w:val="00BD2194"/>
    <w:rsid w:val="00C564D1"/>
    <w:rsid w:val="00C92C81"/>
    <w:rsid w:val="00CA03CB"/>
    <w:rsid w:val="00CA34F5"/>
    <w:rsid w:val="00CB0B29"/>
    <w:rsid w:val="00CB24AF"/>
    <w:rsid w:val="00D63ABA"/>
    <w:rsid w:val="00D94735"/>
    <w:rsid w:val="00D949FE"/>
    <w:rsid w:val="00DA2DF8"/>
    <w:rsid w:val="00DA3C21"/>
    <w:rsid w:val="00DC4B11"/>
    <w:rsid w:val="00E05C76"/>
    <w:rsid w:val="00E452FE"/>
    <w:rsid w:val="00E661E8"/>
    <w:rsid w:val="00E747DA"/>
    <w:rsid w:val="00E75749"/>
    <w:rsid w:val="00E850A9"/>
    <w:rsid w:val="00E92A4E"/>
    <w:rsid w:val="00EC10D3"/>
    <w:rsid w:val="00EC2418"/>
    <w:rsid w:val="00ED00CA"/>
    <w:rsid w:val="00F00160"/>
    <w:rsid w:val="00F17F64"/>
    <w:rsid w:val="00F422A7"/>
    <w:rsid w:val="00FA43CF"/>
    <w:rsid w:val="00FC3B6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00ED4"/>
  <w15:chartTrackingRefBased/>
  <w15:docId w15:val="{317B387C-859B-4127-B254-E529922A9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4BA6"/>
    <w:pPr>
      <w:spacing w:after="120" w:line="276" w:lineRule="auto"/>
      <w:jc w:val="both"/>
    </w:pPr>
    <w:rPr>
      <w:rFonts w:ascii="Times New Roman" w:hAnsi="Times New Roman"/>
      <w:sz w:val="24"/>
    </w:rPr>
  </w:style>
  <w:style w:type="paragraph" w:styleId="Naslov2">
    <w:name w:val="heading 2"/>
    <w:basedOn w:val="Normal"/>
    <w:next w:val="Normal"/>
    <w:link w:val="Naslov2Char"/>
    <w:uiPriority w:val="9"/>
    <w:semiHidden/>
    <w:unhideWhenUsed/>
    <w:qFormat/>
    <w:rsid w:val="001D56B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ormal"/>
    <w:next w:val="Normal"/>
    <w:link w:val="Naslov4Char"/>
    <w:qFormat/>
    <w:rsid w:val="000442CD"/>
    <w:pPr>
      <w:keepNext/>
      <w:spacing w:before="240" w:after="60"/>
      <w:outlineLvl w:val="3"/>
    </w:pPr>
    <w:rPr>
      <w:rFonts w:ascii="Segoe UI Light" w:eastAsia="Times New Roman" w:hAnsi="Segoe UI Light" w:cs="Times New Roman"/>
      <w:b/>
      <w:bCs/>
      <w:sz w:val="22"/>
      <w:szCs w:val="28"/>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tandardWeb">
    <w:name w:val="Normal (Web)"/>
    <w:basedOn w:val="Normal"/>
    <w:uiPriority w:val="99"/>
    <w:unhideWhenUsed/>
    <w:rsid w:val="00FA43CF"/>
    <w:pPr>
      <w:spacing w:before="100" w:beforeAutospacing="1" w:after="100" w:afterAutospacing="1" w:line="240" w:lineRule="auto"/>
    </w:pPr>
    <w:rPr>
      <w:rFonts w:eastAsia="Times New Roman" w:cs="Times New Roman"/>
      <w:szCs w:val="24"/>
      <w:lang w:eastAsia="hr-HR"/>
    </w:rPr>
  </w:style>
  <w:style w:type="paragraph" w:customStyle="1" w:styleId="Tekst">
    <w:name w:val="Tekst"/>
    <w:basedOn w:val="Tijeloteksta"/>
    <w:link w:val="TekstChar"/>
    <w:rsid w:val="00014DDB"/>
    <w:pPr>
      <w:spacing w:after="0" w:line="300" w:lineRule="exact"/>
    </w:pPr>
    <w:rPr>
      <w:rFonts w:ascii="Trebuchet MS" w:eastAsia="Times New Roman" w:hAnsi="Trebuchet MS" w:cs="Times New Roman"/>
      <w:sz w:val="20"/>
      <w:szCs w:val="20"/>
      <w:lang w:val="x-none" w:eastAsia="x-none"/>
    </w:rPr>
  </w:style>
  <w:style w:type="character" w:customStyle="1" w:styleId="TekstChar">
    <w:name w:val="Tekst Char"/>
    <w:link w:val="Tekst"/>
    <w:rsid w:val="00014DDB"/>
    <w:rPr>
      <w:rFonts w:ascii="Trebuchet MS" w:eastAsia="Times New Roman" w:hAnsi="Trebuchet MS" w:cs="Times New Roman"/>
      <w:sz w:val="20"/>
      <w:szCs w:val="20"/>
      <w:lang w:val="x-none" w:eastAsia="x-none"/>
    </w:rPr>
  </w:style>
  <w:style w:type="paragraph" w:styleId="Tijeloteksta">
    <w:name w:val="Body Text"/>
    <w:basedOn w:val="Normal"/>
    <w:link w:val="TijelotekstaChar"/>
    <w:uiPriority w:val="99"/>
    <w:unhideWhenUsed/>
    <w:rsid w:val="00014DDB"/>
  </w:style>
  <w:style w:type="character" w:customStyle="1" w:styleId="TijelotekstaChar">
    <w:name w:val="Tijelo teksta Char"/>
    <w:basedOn w:val="Zadanifontodlomka"/>
    <w:link w:val="Tijeloteksta"/>
    <w:uiPriority w:val="99"/>
    <w:rsid w:val="00014DDB"/>
    <w:rPr>
      <w:rFonts w:ascii="Times New Roman" w:hAnsi="Times New Roman"/>
      <w:sz w:val="24"/>
    </w:rPr>
  </w:style>
  <w:style w:type="paragraph" w:styleId="Odlomakpopisa">
    <w:name w:val="List Paragraph"/>
    <w:aliases w:val="heading 1,opsomming 1,2,3 *-,Odlomak popisa;Tablica,Tablica,Odlomak popisa1,FM"/>
    <w:basedOn w:val="Normal"/>
    <w:link w:val="OdlomakpopisaChar"/>
    <w:uiPriority w:val="34"/>
    <w:qFormat/>
    <w:rsid w:val="00B80811"/>
    <w:pPr>
      <w:ind w:left="720"/>
      <w:contextualSpacing/>
    </w:pPr>
  </w:style>
  <w:style w:type="paragraph" w:styleId="Obinitekst">
    <w:name w:val="Plain Text"/>
    <w:basedOn w:val="Normal"/>
    <w:link w:val="ObinitekstChar"/>
    <w:rsid w:val="00B80811"/>
    <w:pPr>
      <w:spacing w:after="0"/>
    </w:pPr>
    <w:rPr>
      <w:rFonts w:ascii="Courier New" w:eastAsia="Times New Roman" w:hAnsi="Courier New" w:cs="Times New Roman"/>
      <w:sz w:val="20"/>
      <w:szCs w:val="20"/>
      <w:lang w:eastAsia="x-none"/>
    </w:rPr>
  </w:style>
  <w:style w:type="character" w:customStyle="1" w:styleId="ObinitekstChar">
    <w:name w:val="Obični tekst Char"/>
    <w:basedOn w:val="Zadanifontodlomka"/>
    <w:link w:val="Obinitekst"/>
    <w:rsid w:val="00B80811"/>
    <w:rPr>
      <w:rFonts w:ascii="Courier New" w:eastAsia="Times New Roman" w:hAnsi="Courier New" w:cs="Times New Roman"/>
      <w:sz w:val="20"/>
      <w:szCs w:val="20"/>
      <w:lang w:eastAsia="x-none"/>
    </w:rPr>
  </w:style>
  <w:style w:type="paragraph" w:styleId="Tekstfusnote">
    <w:name w:val="footnote text"/>
    <w:basedOn w:val="Normal"/>
    <w:link w:val="TekstfusnoteChar"/>
    <w:uiPriority w:val="99"/>
    <w:semiHidden/>
    <w:unhideWhenUsed/>
    <w:rsid w:val="008C4270"/>
    <w:pPr>
      <w:spacing w:after="0" w:line="240" w:lineRule="auto"/>
    </w:pPr>
    <w:rPr>
      <w:sz w:val="20"/>
      <w:szCs w:val="20"/>
    </w:rPr>
  </w:style>
  <w:style w:type="character" w:customStyle="1" w:styleId="TekstfusnoteChar">
    <w:name w:val="Tekst fusnote Char"/>
    <w:basedOn w:val="Zadanifontodlomka"/>
    <w:link w:val="Tekstfusnote"/>
    <w:uiPriority w:val="99"/>
    <w:semiHidden/>
    <w:rsid w:val="008C4270"/>
    <w:rPr>
      <w:rFonts w:ascii="Times New Roman" w:hAnsi="Times New Roman"/>
      <w:sz w:val="20"/>
      <w:szCs w:val="20"/>
    </w:rPr>
  </w:style>
  <w:style w:type="character" w:customStyle="1" w:styleId="Naslov4Char">
    <w:name w:val="Naslov 4 Char"/>
    <w:basedOn w:val="Zadanifontodlomka"/>
    <w:link w:val="Naslov4"/>
    <w:rsid w:val="000442CD"/>
    <w:rPr>
      <w:rFonts w:ascii="Segoe UI Light" w:eastAsia="Times New Roman" w:hAnsi="Segoe UI Light" w:cs="Times New Roman"/>
      <w:b/>
      <w:bCs/>
      <w:szCs w:val="28"/>
      <w:lang w:eastAsia="hr-HR"/>
    </w:rPr>
  </w:style>
  <w:style w:type="paragraph" w:styleId="Bezproreda">
    <w:name w:val="No Spacing"/>
    <w:uiPriority w:val="1"/>
    <w:qFormat/>
    <w:rsid w:val="007F21E0"/>
    <w:pPr>
      <w:spacing w:after="0" w:line="240" w:lineRule="auto"/>
    </w:pPr>
    <w:rPr>
      <w:rFonts w:ascii="Calibri" w:eastAsia="Calibri" w:hAnsi="Calibri" w:cs="Times New Roman"/>
    </w:rPr>
  </w:style>
  <w:style w:type="paragraph" w:styleId="Tekstbalonia">
    <w:name w:val="Balloon Text"/>
    <w:basedOn w:val="Normal"/>
    <w:link w:val="TekstbaloniaChar"/>
    <w:uiPriority w:val="99"/>
    <w:semiHidden/>
    <w:unhideWhenUsed/>
    <w:rsid w:val="00CB0B2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B0B29"/>
    <w:rPr>
      <w:rFonts w:ascii="Segoe UI" w:hAnsi="Segoe UI" w:cs="Segoe UI"/>
      <w:sz w:val="18"/>
      <w:szCs w:val="18"/>
    </w:rPr>
  </w:style>
  <w:style w:type="character" w:styleId="Naglaeno">
    <w:name w:val="Strong"/>
    <w:qFormat/>
    <w:rsid w:val="002A223E"/>
    <w:rPr>
      <w:b/>
      <w:bCs/>
    </w:rPr>
  </w:style>
  <w:style w:type="paragraph" w:styleId="Zaglavlje">
    <w:name w:val="header"/>
    <w:basedOn w:val="Normal"/>
    <w:link w:val="ZaglavljeChar"/>
    <w:uiPriority w:val="99"/>
    <w:unhideWhenUsed/>
    <w:rsid w:val="004D7A1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D7A14"/>
    <w:rPr>
      <w:rFonts w:ascii="Times New Roman" w:hAnsi="Times New Roman"/>
      <w:sz w:val="24"/>
    </w:rPr>
  </w:style>
  <w:style w:type="paragraph" w:styleId="Podnoje">
    <w:name w:val="footer"/>
    <w:basedOn w:val="Normal"/>
    <w:link w:val="PodnojeChar"/>
    <w:uiPriority w:val="99"/>
    <w:unhideWhenUsed/>
    <w:rsid w:val="004D7A1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D7A14"/>
    <w:rPr>
      <w:rFonts w:ascii="Times New Roman" w:hAnsi="Times New Roman"/>
      <w:sz w:val="24"/>
    </w:rPr>
  </w:style>
  <w:style w:type="paragraph" w:styleId="Revizija">
    <w:name w:val="Revision"/>
    <w:hidden/>
    <w:uiPriority w:val="99"/>
    <w:semiHidden/>
    <w:rsid w:val="00E661E8"/>
    <w:pPr>
      <w:spacing w:after="0" w:line="240" w:lineRule="auto"/>
    </w:pPr>
    <w:rPr>
      <w:rFonts w:ascii="Times New Roman" w:hAnsi="Times New Roman"/>
      <w:sz w:val="24"/>
    </w:rPr>
  </w:style>
  <w:style w:type="character" w:customStyle="1" w:styleId="OdlomakpopisaChar">
    <w:name w:val="Odlomak popisa Char"/>
    <w:aliases w:val="heading 1 Char,opsomming 1 Char,2 Char,3 *- Char,Odlomak popisa;Tablica Char,Tablica Char,Odlomak popisa1 Char,FM Char"/>
    <w:link w:val="Odlomakpopisa"/>
    <w:uiPriority w:val="1"/>
    <w:locked/>
    <w:rsid w:val="000B1FB0"/>
    <w:rPr>
      <w:rFonts w:ascii="Times New Roman" w:hAnsi="Times New Roman"/>
      <w:sz w:val="24"/>
    </w:rPr>
  </w:style>
  <w:style w:type="table" w:styleId="Reetkatablice">
    <w:name w:val="Table Grid"/>
    <w:basedOn w:val="Obinatablica"/>
    <w:uiPriority w:val="39"/>
    <w:rsid w:val="0099238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Char">
    <w:name w:val="Naslov 2 Char"/>
    <w:basedOn w:val="Zadanifontodlomka"/>
    <w:link w:val="Naslov2"/>
    <w:uiPriority w:val="9"/>
    <w:semiHidden/>
    <w:rsid w:val="001D56B1"/>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493535">
      <w:bodyDiv w:val="1"/>
      <w:marLeft w:val="0"/>
      <w:marRight w:val="0"/>
      <w:marTop w:val="0"/>
      <w:marBottom w:val="0"/>
      <w:divBdr>
        <w:top w:val="none" w:sz="0" w:space="0" w:color="auto"/>
        <w:left w:val="none" w:sz="0" w:space="0" w:color="auto"/>
        <w:bottom w:val="none" w:sz="0" w:space="0" w:color="auto"/>
        <w:right w:val="none" w:sz="0" w:space="0" w:color="auto"/>
      </w:divBdr>
    </w:div>
    <w:div w:id="1388185225">
      <w:bodyDiv w:val="1"/>
      <w:marLeft w:val="0"/>
      <w:marRight w:val="0"/>
      <w:marTop w:val="0"/>
      <w:marBottom w:val="0"/>
      <w:divBdr>
        <w:top w:val="none" w:sz="0" w:space="0" w:color="auto"/>
        <w:left w:val="none" w:sz="0" w:space="0" w:color="auto"/>
        <w:bottom w:val="none" w:sz="0" w:space="0" w:color="auto"/>
        <w:right w:val="none" w:sz="0" w:space="0" w:color="auto"/>
      </w:divBdr>
    </w:div>
    <w:div w:id="155006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k.xn--bea.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6D0F4-9FEC-42A3-804A-ECF1A000D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6569</Words>
  <Characters>37449</Characters>
  <Application>Microsoft Office Word</Application>
  <DocSecurity>0</DocSecurity>
  <Lines>312</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Mihinjač Pleše</dc:creator>
  <cp:keywords/>
  <dc:description/>
  <cp:lastModifiedBy>Kristina</cp:lastModifiedBy>
  <cp:revision>3</cp:revision>
  <cp:lastPrinted>2026-08-06T13:00:00Z</cp:lastPrinted>
  <dcterms:created xsi:type="dcterms:W3CDTF">2026-08-19T11:53:00Z</dcterms:created>
  <dcterms:modified xsi:type="dcterms:W3CDTF">2026-08-19T12:52:00Z</dcterms:modified>
</cp:coreProperties>
</file>